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EDA7D96" w:rsidR="00E90E49" w:rsidRPr="00CE0424" w:rsidRDefault="00E90E49" w:rsidP="00E35559">
      <w:pPr>
        <w:pStyle w:val="3GPPHeader"/>
        <w:spacing w:after="60"/>
        <w:rPr>
          <w:sz w:val="32"/>
          <w:szCs w:val="32"/>
          <w:highlight w:val="yellow"/>
        </w:rPr>
      </w:pPr>
      <w:r w:rsidRPr="00CE0424">
        <w:t>3GPP TSG-RAN WG</w:t>
      </w:r>
      <w:r w:rsidR="000E24EA">
        <w:t>4</w:t>
      </w:r>
      <w:r w:rsidRPr="00CE0424">
        <w:t xml:space="preserve"> </w:t>
      </w:r>
      <w:r w:rsidR="008F1C4E">
        <w:t xml:space="preserve">Meeting </w:t>
      </w:r>
      <w:r w:rsidRPr="00CE0424">
        <w:t>#</w:t>
      </w:r>
      <w:r w:rsidR="000E24EA">
        <w:t>106</w:t>
      </w:r>
      <w:r w:rsidRPr="00CE0424">
        <w:tab/>
      </w:r>
      <w:r w:rsidR="00091557" w:rsidRPr="00CE0424">
        <w:rPr>
          <w:sz w:val="32"/>
          <w:szCs w:val="32"/>
        </w:rPr>
        <w:t>R</w:t>
      </w:r>
      <w:r w:rsidR="00AF2169">
        <w:rPr>
          <w:sz w:val="32"/>
          <w:szCs w:val="32"/>
        </w:rPr>
        <w:t>4</w:t>
      </w:r>
      <w:r w:rsidR="00091557" w:rsidRPr="00CE0424">
        <w:rPr>
          <w:sz w:val="32"/>
          <w:szCs w:val="32"/>
        </w:rPr>
        <w:t>-</w:t>
      </w:r>
      <w:r w:rsidR="00AF2169">
        <w:rPr>
          <w:sz w:val="32"/>
          <w:szCs w:val="32"/>
        </w:rPr>
        <w:t>23</w:t>
      </w:r>
      <w:r w:rsidR="00C14E01">
        <w:rPr>
          <w:sz w:val="32"/>
          <w:szCs w:val="32"/>
        </w:rPr>
        <w:t>01883</w:t>
      </w:r>
    </w:p>
    <w:p w14:paraId="0CE7B7E6" w14:textId="56A3499C" w:rsidR="00E90E49" w:rsidRPr="00CE0424" w:rsidRDefault="001229A5" w:rsidP="00311702">
      <w:pPr>
        <w:pStyle w:val="3GPPHeader"/>
      </w:pPr>
      <w:r w:rsidRPr="001229A5">
        <w:t>Athens</w:t>
      </w:r>
      <w:r w:rsidR="0027144F" w:rsidRPr="001229A5">
        <w:t xml:space="preserve">, </w:t>
      </w:r>
      <w:r w:rsidRPr="001229A5">
        <w:t>Greece</w:t>
      </w:r>
      <w:r w:rsidR="0027144F" w:rsidRPr="001229A5">
        <w:t xml:space="preserve">, </w:t>
      </w:r>
      <w:r w:rsidRPr="001229A5">
        <w:t>27</w:t>
      </w:r>
      <w:r w:rsidR="001D53E7" w:rsidRPr="001229A5">
        <w:t xml:space="preserve">th </w:t>
      </w:r>
      <w:r w:rsidRPr="001229A5">
        <w:t xml:space="preserve">February </w:t>
      </w:r>
      <w:r w:rsidR="001D53E7" w:rsidRPr="001229A5">
        <w:t xml:space="preserve">– </w:t>
      </w:r>
      <w:r w:rsidRPr="001229A5">
        <w:t>3rd</w:t>
      </w:r>
      <w:r w:rsidR="00C37CB2" w:rsidRPr="001229A5">
        <w:t xml:space="preserve"> </w:t>
      </w:r>
      <w:r w:rsidRPr="001229A5">
        <w:t xml:space="preserve">March </w:t>
      </w:r>
      <w:r w:rsidR="0027144F" w:rsidRPr="001229A5">
        <w:t>20</w:t>
      </w:r>
      <w:r w:rsidRPr="001229A5">
        <w:t>23</w:t>
      </w:r>
    </w:p>
    <w:p w14:paraId="3086AC07" w14:textId="77777777" w:rsidR="00E90E49" w:rsidRPr="00CE0424" w:rsidRDefault="00E90E49" w:rsidP="00357380">
      <w:pPr>
        <w:pStyle w:val="3GPPHeader"/>
      </w:pPr>
    </w:p>
    <w:p w14:paraId="3982483C" w14:textId="389E9723"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C14E01">
        <w:rPr>
          <w:sz w:val="22"/>
          <w:lang w:val="sv-FI"/>
        </w:rPr>
        <w:t>9.27.2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51E6A221" w:rsidR="00E90E49" w:rsidRPr="00CE0424" w:rsidRDefault="003D3C45" w:rsidP="00311702">
      <w:pPr>
        <w:pStyle w:val="3GPPHeader"/>
        <w:rPr>
          <w:sz w:val="22"/>
        </w:rPr>
      </w:pPr>
      <w:r>
        <w:rPr>
          <w:sz w:val="22"/>
        </w:rPr>
        <w:t>Title:</w:t>
      </w:r>
      <w:r w:rsidR="00E90E49" w:rsidRPr="00CE0424">
        <w:rPr>
          <w:sz w:val="22"/>
        </w:rPr>
        <w:tab/>
      </w:r>
      <w:r w:rsidR="001229A5">
        <w:rPr>
          <w:sz w:val="22"/>
        </w:rPr>
        <w:t>NCR RF requirements</w:t>
      </w:r>
    </w:p>
    <w:p w14:paraId="025260C1" w14:textId="650BA5FA" w:rsidR="00E90E49" w:rsidRPr="00CE0424" w:rsidRDefault="00E90E49" w:rsidP="00D546FF">
      <w:pPr>
        <w:pStyle w:val="3GPPHeader"/>
        <w:rPr>
          <w:sz w:val="22"/>
        </w:rPr>
      </w:pPr>
      <w:r w:rsidRPr="00CE0424">
        <w:rPr>
          <w:sz w:val="22"/>
        </w:rPr>
        <w:t>Document for:</w:t>
      </w:r>
      <w:r w:rsidRPr="00CE0424">
        <w:rPr>
          <w:sz w:val="22"/>
        </w:rPr>
        <w:tab/>
      </w:r>
      <w:r w:rsidR="001229A5">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42C4BBF1" w:rsidR="00477768" w:rsidRPr="00CE0424" w:rsidRDefault="001229A5" w:rsidP="00CE0424">
      <w:pPr>
        <w:pStyle w:val="BodyText"/>
      </w:pPr>
      <w:r>
        <w:t>During RAN4#105, a number of issues were resolved relating to NCR RF and a WF was captured in [1]. An LS response on beamforming and uplink transmit was received from RAN1 in [2</w:t>
      </w:r>
      <w:r w:rsidR="00B15963">
        <w:t>].</w:t>
      </w:r>
      <w:r w:rsidR="00FD421C">
        <w:t xml:space="preserve"> This document presents some further considerations on the remaining outstanding issues.</w:t>
      </w:r>
    </w:p>
    <w:p w14:paraId="60123794" w14:textId="2CD43BC6" w:rsidR="004000E8" w:rsidRDefault="00230D18" w:rsidP="00CE0424">
      <w:pPr>
        <w:pStyle w:val="Heading1"/>
      </w:pPr>
      <w:bookmarkStart w:id="0" w:name="_Ref178064866"/>
      <w:r>
        <w:t>2</w:t>
      </w:r>
      <w:r>
        <w:tab/>
      </w:r>
      <w:bookmarkEnd w:id="0"/>
      <w:r w:rsidR="00A957BB">
        <w:t>NCR-FWD requirements</w:t>
      </w:r>
    </w:p>
    <w:p w14:paraId="0AA70820" w14:textId="3029E699" w:rsidR="005923AA" w:rsidRDefault="006B31C2" w:rsidP="006B31C2">
      <w:pPr>
        <w:rPr>
          <w:lang w:val="en-GB" w:eastAsia="ja-JP"/>
        </w:rPr>
      </w:pPr>
      <w:r>
        <w:rPr>
          <w:lang w:val="en-GB" w:eastAsia="ja-JP"/>
        </w:rPr>
        <w:t xml:space="preserve">It has been communicated from RAN1 and agreed in RAN4 that beamforming is supported </w:t>
      </w:r>
      <w:r w:rsidR="003C006B">
        <w:rPr>
          <w:lang w:val="en-GB" w:eastAsia="ja-JP"/>
        </w:rPr>
        <w:t>for the access link.</w:t>
      </w:r>
      <w:r w:rsidR="00AA4B0A">
        <w:rPr>
          <w:lang w:val="en-GB" w:eastAsia="ja-JP"/>
        </w:rPr>
        <w:t xml:space="preserve"> </w:t>
      </w:r>
      <w:r w:rsidR="00967C1E">
        <w:rPr>
          <w:lang w:val="en-GB" w:eastAsia="ja-JP"/>
        </w:rPr>
        <w:t xml:space="preserve">Currently, repeater requirements have only been defined for a repeater type 1-C. Since a beamforming on the access link implies an AAS </w:t>
      </w:r>
      <w:r w:rsidR="005D35D9">
        <w:rPr>
          <w:lang w:val="en-GB" w:eastAsia="ja-JP"/>
        </w:rPr>
        <w:t>implementation, 1-H and/or 1-O requirements are needed.</w:t>
      </w:r>
    </w:p>
    <w:p w14:paraId="52803AE5" w14:textId="6333D93D" w:rsidR="005D35D9" w:rsidRDefault="005D35D9" w:rsidP="006B31C2">
      <w:pPr>
        <w:rPr>
          <w:lang w:val="en-GB" w:eastAsia="ja-JP"/>
        </w:rPr>
      </w:pPr>
      <w:r>
        <w:rPr>
          <w:lang w:val="en-GB" w:eastAsia="ja-JP"/>
        </w:rPr>
        <w:t xml:space="preserve">The repeater requirements </w:t>
      </w:r>
      <w:r w:rsidR="00E8592E">
        <w:rPr>
          <w:lang w:val="en-GB" w:eastAsia="ja-JP"/>
        </w:rPr>
        <w:t xml:space="preserve">for the </w:t>
      </w:r>
      <w:r w:rsidR="00F64143">
        <w:rPr>
          <w:lang w:val="en-GB" w:eastAsia="ja-JP"/>
        </w:rPr>
        <w:t xml:space="preserve">NCR-FWD </w:t>
      </w:r>
      <w:r>
        <w:rPr>
          <w:lang w:val="en-GB" w:eastAsia="ja-JP"/>
        </w:rPr>
        <w:t>consist of</w:t>
      </w:r>
      <w:r w:rsidR="00E8592E">
        <w:rPr>
          <w:lang w:val="en-GB" w:eastAsia="ja-JP"/>
        </w:rPr>
        <w:t>:</w:t>
      </w:r>
    </w:p>
    <w:p w14:paraId="53833D24" w14:textId="4F8A9015" w:rsidR="00E8592E" w:rsidRDefault="00E8592E" w:rsidP="00E8592E">
      <w:pPr>
        <w:pStyle w:val="ListParagraph"/>
        <w:numPr>
          <w:ilvl w:val="0"/>
          <w:numId w:val="23"/>
        </w:numPr>
        <w:rPr>
          <w:lang w:val="en-GB" w:eastAsia="ja-JP"/>
        </w:rPr>
      </w:pPr>
      <w:r>
        <w:rPr>
          <w:lang w:val="en-GB" w:eastAsia="ja-JP"/>
        </w:rPr>
        <w:t>Power requirement</w:t>
      </w:r>
    </w:p>
    <w:p w14:paraId="11C64BF3" w14:textId="18614C3D" w:rsidR="00E8592E" w:rsidRDefault="00E8592E" w:rsidP="00E8592E">
      <w:pPr>
        <w:pStyle w:val="ListParagraph"/>
        <w:numPr>
          <w:ilvl w:val="0"/>
          <w:numId w:val="23"/>
        </w:numPr>
        <w:rPr>
          <w:lang w:val="en-GB" w:eastAsia="ja-JP"/>
        </w:rPr>
      </w:pPr>
      <w:r>
        <w:rPr>
          <w:lang w:val="en-GB" w:eastAsia="ja-JP"/>
        </w:rPr>
        <w:t>Signal quality (</w:t>
      </w:r>
      <w:r w:rsidR="00F64143">
        <w:rPr>
          <w:lang w:val="en-GB" w:eastAsia="ja-JP"/>
        </w:rPr>
        <w:t xml:space="preserve">repeater </w:t>
      </w:r>
      <w:r>
        <w:rPr>
          <w:lang w:val="en-GB" w:eastAsia="ja-JP"/>
        </w:rPr>
        <w:t>EVM</w:t>
      </w:r>
      <w:r w:rsidR="005D4B2F">
        <w:rPr>
          <w:lang w:val="en-GB" w:eastAsia="ja-JP"/>
        </w:rPr>
        <w:t>, frequency stability</w:t>
      </w:r>
      <w:r>
        <w:rPr>
          <w:lang w:val="en-GB" w:eastAsia="ja-JP"/>
        </w:rPr>
        <w:t>) requirement</w:t>
      </w:r>
      <w:r w:rsidR="005D4B2F">
        <w:rPr>
          <w:lang w:val="en-GB" w:eastAsia="ja-JP"/>
        </w:rPr>
        <w:t>s</w:t>
      </w:r>
    </w:p>
    <w:p w14:paraId="06FBA004" w14:textId="6C202D4F" w:rsidR="00F64143" w:rsidRDefault="00F64143" w:rsidP="00E8592E">
      <w:pPr>
        <w:pStyle w:val="ListParagraph"/>
        <w:numPr>
          <w:ilvl w:val="0"/>
          <w:numId w:val="23"/>
        </w:numPr>
        <w:rPr>
          <w:lang w:val="en-GB" w:eastAsia="ja-JP"/>
        </w:rPr>
      </w:pPr>
      <w:r>
        <w:rPr>
          <w:lang w:val="en-GB" w:eastAsia="ja-JP"/>
        </w:rPr>
        <w:t>Emissions requirements</w:t>
      </w:r>
    </w:p>
    <w:p w14:paraId="29771BBF" w14:textId="1609CB06" w:rsidR="00F64143" w:rsidRDefault="00F64143" w:rsidP="00E8592E">
      <w:pPr>
        <w:pStyle w:val="ListParagraph"/>
        <w:numPr>
          <w:ilvl w:val="0"/>
          <w:numId w:val="23"/>
        </w:numPr>
        <w:rPr>
          <w:lang w:val="en-GB" w:eastAsia="ja-JP"/>
        </w:rPr>
      </w:pPr>
      <w:r>
        <w:rPr>
          <w:lang w:val="en-GB" w:eastAsia="ja-JP"/>
        </w:rPr>
        <w:t>ACRR and out of band gain requirement</w:t>
      </w:r>
    </w:p>
    <w:p w14:paraId="10BE55BD" w14:textId="7C28F5F1" w:rsidR="00F64143" w:rsidRDefault="00F64143" w:rsidP="00E8592E">
      <w:pPr>
        <w:pStyle w:val="ListParagraph"/>
        <w:numPr>
          <w:ilvl w:val="0"/>
          <w:numId w:val="23"/>
        </w:numPr>
        <w:rPr>
          <w:lang w:val="en-GB" w:eastAsia="ja-JP"/>
        </w:rPr>
      </w:pPr>
      <w:r>
        <w:rPr>
          <w:lang w:val="en-GB" w:eastAsia="ja-JP"/>
        </w:rPr>
        <w:t>Input intermodulation requirement</w:t>
      </w:r>
    </w:p>
    <w:p w14:paraId="4A702B44" w14:textId="754138A2" w:rsidR="00F64143" w:rsidRDefault="00BC16EC" w:rsidP="00E8592E">
      <w:pPr>
        <w:pStyle w:val="ListParagraph"/>
        <w:numPr>
          <w:ilvl w:val="0"/>
          <w:numId w:val="23"/>
        </w:numPr>
        <w:rPr>
          <w:lang w:val="en-GB" w:eastAsia="ja-JP"/>
        </w:rPr>
      </w:pPr>
      <w:r>
        <w:rPr>
          <w:lang w:val="en-GB" w:eastAsia="ja-JP"/>
        </w:rPr>
        <w:t>Output intermodulation requirement</w:t>
      </w:r>
    </w:p>
    <w:p w14:paraId="62268307" w14:textId="01D91E6F" w:rsidR="00F575AB" w:rsidRDefault="00F575AB" w:rsidP="00E8592E">
      <w:pPr>
        <w:pStyle w:val="ListParagraph"/>
        <w:numPr>
          <w:ilvl w:val="0"/>
          <w:numId w:val="23"/>
        </w:numPr>
        <w:rPr>
          <w:lang w:val="en-GB" w:eastAsia="ja-JP"/>
        </w:rPr>
      </w:pPr>
      <w:r>
        <w:rPr>
          <w:lang w:val="en-GB" w:eastAsia="ja-JP"/>
        </w:rPr>
        <w:t>TDD OFF requirement</w:t>
      </w:r>
    </w:p>
    <w:p w14:paraId="01714099" w14:textId="17B3C41E" w:rsidR="0025736E" w:rsidRDefault="0025736E" w:rsidP="0025736E">
      <w:pPr>
        <w:rPr>
          <w:lang w:val="en-GB" w:eastAsia="ja-JP"/>
        </w:rPr>
      </w:pPr>
    </w:p>
    <w:p w14:paraId="667762ED" w14:textId="46DC40B8" w:rsidR="0025736E" w:rsidRDefault="0025736E" w:rsidP="0025736E">
      <w:pPr>
        <w:rPr>
          <w:lang w:val="en-GB" w:eastAsia="ja-JP"/>
        </w:rPr>
      </w:pPr>
      <w:r>
        <w:rPr>
          <w:lang w:val="en-GB" w:eastAsia="ja-JP"/>
        </w:rPr>
        <w:t>For a 1-O repeater, the output power requirement can be stated as a TRP requirement and an EIRP accuracy requirement in a similar manner to 2-O.</w:t>
      </w:r>
    </w:p>
    <w:p w14:paraId="0AABB9CC" w14:textId="56297464" w:rsidR="00F3611F" w:rsidRDefault="00F3611F" w:rsidP="00BA4AFD">
      <w:pPr>
        <w:pStyle w:val="Proposal"/>
        <w:rPr>
          <w:lang w:val="en-GB"/>
        </w:rPr>
      </w:pPr>
      <w:bookmarkStart w:id="1" w:name="_Toc127430929"/>
      <w:r>
        <w:rPr>
          <w:lang w:val="en-GB"/>
        </w:rPr>
        <w:t>For 1-O, define TRP output power and EIRP accuracy in a similar manner to 2-O</w:t>
      </w:r>
      <w:bookmarkEnd w:id="1"/>
    </w:p>
    <w:p w14:paraId="28875C68" w14:textId="77777777" w:rsidR="001D127B" w:rsidRDefault="001D127B" w:rsidP="0025736E">
      <w:pPr>
        <w:rPr>
          <w:lang w:val="en-GB" w:eastAsia="ja-JP"/>
        </w:rPr>
      </w:pPr>
    </w:p>
    <w:p w14:paraId="719A7FFA" w14:textId="314B1592" w:rsidR="00F3611F" w:rsidRDefault="002D6796" w:rsidP="0025736E">
      <w:pPr>
        <w:rPr>
          <w:lang w:val="en-GB" w:eastAsia="ja-JP"/>
        </w:rPr>
      </w:pPr>
      <w:r>
        <w:rPr>
          <w:lang w:val="en-GB" w:eastAsia="ja-JP"/>
        </w:rPr>
        <w:t>The signal quality requirements can be defined in the same manner as 1-C for both 1-H and 1-O, since they do not depend on the OTA test method. This would be the same approach as is used for a BS.</w:t>
      </w:r>
    </w:p>
    <w:p w14:paraId="60ED4A03" w14:textId="61A37D4D" w:rsidR="002D6796" w:rsidRDefault="002D6796" w:rsidP="00BA4AFD">
      <w:pPr>
        <w:pStyle w:val="Proposal"/>
        <w:rPr>
          <w:lang w:val="en-GB"/>
        </w:rPr>
      </w:pPr>
      <w:bookmarkStart w:id="2" w:name="_Toc127430930"/>
      <w:r>
        <w:rPr>
          <w:lang w:val="en-GB"/>
        </w:rPr>
        <w:t>For 1-H and 1-O, define the repeater EVM and frequency accuracy requirements in the same manner as for 1-C.</w:t>
      </w:r>
      <w:bookmarkEnd w:id="2"/>
    </w:p>
    <w:p w14:paraId="70235DAB" w14:textId="77777777" w:rsidR="002D6796" w:rsidRPr="002D6796" w:rsidRDefault="002D6796" w:rsidP="0025736E">
      <w:pPr>
        <w:rPr>
          <w:lang w:val="en-GB" w:eastAsia="ja-JP"/>
        </w:rPr>
      </w:pPr>
    </w:p>
    <w:p w14:paraId="47A598CD" w14:textId="580AF0DA" w:rsidR="00F64143" w:rsidRDefault="001D127B" w:rsidP="00F64143">
      <w:pPr>
        <w:rPr>
          <w:lang w:val="en-GB" w:eastAsia="ja-JP"/>
        </w:rPr>
      </w:pPr>
      <w:r>
        <w:rPr>
          <w:lang w:val="en-GB" w:eastAsia="ja-JP"/>
        </w:rPr>
        <w:t>The unwanted emissions requirements are defined as TRP</w:t>
      </w:r>
      <w:r w:rsidR="005A7286">
        <w:rPr>
          <w:lang w:val="en-GB" w:eastAsia="ja-JP"/>
        </w:rPr>
        <w:t xml:space="preserve"> for the BS and for repeater type 2-O. The same approach </w:t>
      </w:r>
      <w:r w:rsidR="00982B88">
        <w:rPr>
          <w:lang w:val="en-GB" w:eastAsia="ja-JP"/>
        </w:rPr>
        <w:t>can be applied for 1-O.</w:t>
      </w:r>
      <w:r w:rsidR="00BA4AFD">
        <w:rPr>
          <w:lang w:val="en-GB" w:eastAsia="ja-JP"/>
        </w:rPr>
        <w:t xml:space="preserve"> For the BS, in some cases a 9dB relaxation is applied for emissions </w:t>
      </w:r>
      <w:r w:rsidR="00BA4AFD">
        <w:rPr>
          <w:lang w:val="en-GB" w:eastAsia="ja-JP"/>
        </w:rPr>
        <w:lastRenderedPageBreak/>
        <w:t>requirements for AAS. The 9dB relaxation can be applied in a similar manner for 1-O and 1-H repeater requirements.</w:t>
      </w:r>
    </w:p>
    <w:p w14:paraId="36C6BB08" w14:textId="0101E199" w:rsidR="00BA4AFD" w:rsidRDefault="00BA4AFD" w:rsidP="00F64143">
      <w:pPr>
        <w:rPr>
          <w:lang w:val="en-GB" w:eastAsia="ja-JP"/>
        </w:rPr>
      </w:pPr>
    </w:p>
    <w:p w14:paraId="40386D32" w14:textId="2C7993C3" w:rsidR="00BA4AFD" w:rsidRDefault="00BA4AFD" w:rsidP="00BA4AFD">
      <w:pPr>
        <w:pStyle w:val="Proposal"/>
        <w:rPr>
          <w:lang w:val="en-GB"/>
        </w:rPr>
      </w:pPr>
      <w:bookmarkStart w:id="3" w:name="_Toc127430931"/>
      <w:r>
        <w:rPr>
          <w:lang w:val="en-GB"/>
        </w:rPr>
        <w:t>Define unwanted emissions requirements as TRP for 1-O repeaters</w:t>
      </w:r>
      <w:bookmarkEnd w:id="3"/>
    </w:p>
    <w:p w14:paraId="4F2663CD" w14:textId="5DDF971B" w:rsidR="00BA4AFD" w:rsidRDefault="00BA4AFD" w:rsidP="00BA4AFD">
      <w:pPr>
        <w:pStyle w:val="Proposal"/>
        <w:rPr>
          <w:lang w:val="en-GB"/>
        </w:rPr>
      </w:pPr>
      <w:bookmarkStart w:id="4" w:name="_Toc127430932"/>
      <w:r>
        <w:rPr>
          <w:lang w:val="en-GB"/>
        </w:rPr>
        <w:t>Apply the 9dB relaxation for 1-H and 1-O in the same manner as it is applied for the basestation.</w:t>
      </w:r>
      <w:bookmarkEnd w:id="4"/>
    </w:p>
    <w:p w14:paraId="5B481307" w14:textId="0BCC822F" w:rsidR="00BA4AFD" w:rsidRDefault="00BA4AFD" w:rsidP="00F64143">
      <w:pPr>
        <w:rPr>
          <w:lang w:val="en-GB" w:eastAsia="ja-JP"/>
        </w:rPr>
      </w:pPr>
    </w:p>
    <w:p w14:paraId="3FAAEBE3" w14:textId="02FEDF10" w:rsidR="00FF4761" w:rsidRDefault="00FF4761" w:rsidP="00F64143">
      <w:pPr>
        <w:rPr>
          <w:lang w:val="en-GB" w:eastAsia="ja-JP"/>
        </w:rPr>
      </w:pPr>
      <w:r>
        <w:rPr>
          <w:lang w:val="en-GB" w:eastAsia="ja-JP"/>
        </w:rPr>
        <w:t>The ACRR and out of band gain requirement should apply to the electronic gain of the repeater but not the beamforming gain (since the impact of the unwanted gain will act in a TRP fashion in the adjacent channels).</w:t>
      </w:r>
      <w:r w:rsidR="00211441">
        <w:rPr>
          <w:lang w:val="en-GB" w:eastAsia="ja-JP"/>
        </w:rPr>
        <w:t xml:space="preserve"> To achieve this, the </w:t>
      </w:r>
      <w:r w:rsidR="00ED64E1">
        <w:rPr>
          <w:lang w:val="en-GB" w:eastAsia="ja-JP"/>
        </w:rPr>
        <w:t>gain in the OOB gain and ACRR requirements should be based on the ratio of the TRP output power to the directional input power. This is the same approach as is applied for 2-O.</w:t>
      </w:r>
    </w:p>
    <w:p w14:paraId="06C023EF" w14:textId="12FCC8EC" w:rsidR="00ED64E1" w:rsidRDefault="00C61467" w:rsidP="00C61467">
      <w:pPr>
        <w:pStyle w:val="Proposal"/>
        <w:rPr>
          <w:lang w:val="en-GB"/>
        </w:rPr>
      </w:pPr>
      <w:bookmarkStart w:id="5" w:name="_Toc127430933"/>
      <w:r>
        <w:rPr>
          <w:lang w:val="en-GB"/>
        </w:rPr>
        <w:t xml:space="preserve">For 1-O, </w:t>
      </w:r>
      <w:r w:rsidR="00064B26">
        <w:rPr>
          <w:lang w:val="en-GB"/>
        </w:rPr>
        <w:t>d</w:t>
      </w:r>
      <w:r>
        <w:rPr>
          <w:lang w:val="en-GB"/>
        </w:rPr>
        <w:t>efine the gain for OOB gain and ACRR as the ratio of TRP output power to directional input power in the same manner as for 2-O.</w:t>
      </w:r>
      <w:bookmarkEnd w:id="5"/>
    </w:p>
    <w:p w14:paraId="055DDB7E" w14:textId="06B4B7F1" w:rsidR="00BA4AFD" w:rsidRDefault="00BA4AFD" w:rsidP="00F64143">
      <w:pPr>
        <w:rPr>
          <w:lang w:val="en-GB" w:eastAsia="ja-JP"/>
        </w:rPr>
      </w:pPr>
    </w:p>
    <w:p w14:paraId="5E01407C" w14:textId="2417B89A" w:rsidR="00064B26" w:rsidRDefault="00BE2EB6" w:rsidP="00F64143">
      <w:pPr>
        <w:rPr>
          <w:lang w:val="en-GB" w:eastAsia="ja-JP"/>
        </w:rPr>
      </w:pPr>
      <w:r>
        <w:rPr>
          <w:lang w:val="en-GB" w:eastAsia="ja-JP"/>
        </w:rPr>
        <w:t>The input intermodulation requirements for 1-C are based on specific input power levels. A general requirement is defined, together with optional co-location requirements.</w:t>
      </w:r>
    </w:p>
    <w:p w14:paraId="3D11ABB6" w14:textId="2468A621" w:rsidR="00BE2EB6" w:rsidRDefault="00BE2EB6" w:rsidP="00F64143">
      <w:pPr>
        <w:rPr>
          <w:lang w:val="en-GB" w:eastAsia="ja-JP"/>
        </w:rPr>
      </w:pPr>
      <w:r>
        <w:rPr>
          <w:lang w:val="en-GB" w:eastAsia="ja-JP"/>
        </w:rPr>
        <w:t xml:space="preserve">For OTA testing, the input signals may experience antenna gain at the input to the repeater. In the BS specification, the </w:t>
      </w:r>
      <w:r w:rsidR="005D43DF">
        <w:rPr>
          <w:lang w:val="en-GB" w:eastAsia="ja-JP"/>
        </w:rPr>
        <w:t xml:space="preserve">power level at the RIB of the input signals is reduced by </w:t>
      </w:r>
      <w:r w:rsidR="003D6BE0" w:rsidRPr="00F95B02">
        <w:t>Δ</w:t>
      </w:r>
      <w:r w:rsidR="003D6BE0" w:rsidRPr="00F95B02">
        <w:rPr>
          <w:vertAlign w:val="subscript"/>
        </w:rPr>
        <w:t>OTAREFSENS</w:t>
      </w:r>
      <w:r w:rsidR="003D6BE0">
        <w:rPr>
          <w:vertAlign w:val="subscript"/>
        </w:rPr>
        <w:t xml:space="preserve">, </w:t>
      </w:r>
      <w:r w:rsidR="003D6BE0">
        <w:rPr>
          <w:lang w:val="en-GB" w:eastAsia="ja-JP"/>
        </w:rPr>
        <w:t>which is calculated based on a declared sensitivity RoAoA. The sensitivity RoAoA is the contour around which the OTA sensitivity is 3dB lower than in the reference direction.</w:t>
      </w:r>
    </w:p>
    <w:p w14:paraId="5DB9F363" w14:textId="31BDF999" w:rsidR="003D6BE0" w:rsidRDefault="003D6BE0" w:rsidP="00F64143">
      <w:pPr>
        <w:rPr>
          <w:lang w:val="en-GB" w:eastAsia="ja-JP"/>
        </w:rPr>
      </w:pPr>
      <w:r>
        <w:rPr>
          <w:lang w:val="en-GB" w:eastAsia="ja-JP"/>
        </w:rPr>
        <w:t xml:space="preserve">For NCR-FWD the same principle could be applied. However, there exists the problem that </w:t>
      </w:r>
      <w:r w:rsidR="002F7E51">
        <w:rPr>
          <w:lang w:val="en-GB" w:eastAsia="ja-JP"/>
        </w:rPr>
        <w:t>a sensitivity RoAoA is not defined for NCR-FWD, and indeed there is no sensitivity requirement. One solution that could be used to define a sensitivity RoAoA would be to assume that the NCR-FWD and NCR-MT have the same coverage pattern for the</w:t>
      </w:r>
      <w:r w:rsidR="00005F38">
        <w:rPr>
          <w:lang w:val="en-GB" w:eastAsia="ja-JP"/>
        </w:rPr>
        <w:t xml:space="preserve"> feeder link and use the NCR-MT sensitivity RoAoA. This would be a suitable approach for the vast majority of cases</w:t>
      </w:r>
      <w:r w:rsidR="004333EE">
        <w:rPr>
          <w:lang w:val="en-GB" w:eastAsia="ja-JP"/>
        </w:rPr>
        <w:t>, however it may be useful to allow for flexibility in the specifications for the NCR-FWD and NCR-MT sensitivity RoAoA to differ.</w:t>
      </w:r>
    </w:p>
    <w:p w14:paraId="601D2B1C" w14:textId="220F2548" w:rsidR="004333EE" w:rsidRDefault="004333EE" w:rsidP="00F64143">
      <w:pPr>
        <w:rPr>
          <w:lang w:val="en-GB" w:eastAsia="ja-JP"/>
        </w:rPr>
      </w:pPr>
      <w:r>
        <w:rPr>
          <w:lang w:val="en-GB" w:eastAsia="ja-JP"/>
        </w:rPr>
        <w:t>An alternative approach for the NCR</w:t>
      </w:r>
      <w:r w:rsidR="008B0F34">
        <w:rPr>
          <w:lang w:val="en-GB" w:eastAsia="ja-JP"/>
        </w:rPr>
        <w:t>-FWD could be to define a</w:t>
      </w:r>
      <w:r w:rsidR="00CD688C">
        <w:rPr>
          <w:lang w:val="en-GB" w:eastAsia="ja-JP"/>
        </w:rPr>
        <w:t xml:space="preserve">n RoAoA based on power. Assuming that the </w:t>
      </w:r>
      <w:r w:rsidR="00650B1D" w:rsidRPr="007911AE">
        <w:rPr>
          <w:lang w:eastAsia="zh-CN"/>
        </w:rPr>
        <w:t>P</w:t>
      </w:r>
      <w:r w:rsidR="00650B1D" w:rsidRPr="007911AE">
        <w:rPr>
          <w:vertAlign w:val="subscript"/>
          <w:lang w:eastAsia="zh-CN"/>
        </w:rPr>
        <w:t>in,p,EIRP</w:t>
      </w:r>
      <w:r w:rsidR="00650B1D">
        <w:rPr>
          <w:lang w:val="en-GB" w:eastAsia="ja-JP"/>
        </w:rPr>
        <w:t xml:space="preserve">  is defined in the same way as for 2-O then </w:t>
      </w:r>
      <w:r w:rsidR="00650B1D" w:rsidRPr="007911AE">
        <w:rPr>
          <w:lang w:eastAsia="zh-CN"/>
        </w:rPr>
        <w:t>P</w:t>
      </w:r>
      <w:r w:rsidR="00650B1D" w:rsidRPr="007911AE">
        <w:rPr>
          <w:vertAlign w:val="subscript"/>
          <w:lang w:eastAsia="zh-CN"/>
        </w:rPr>
        <w:t>in,p,EIRP</w:t>
      </w:r>
      <w:r w:rsidR="00650B1D">
        <w:rPr>
          <w:lang w:val="en-GB" w:eastAsia="ja-JP"/>
        </w:rPr>
        <w:t xml:space="preserve"> is the minimum output power required to produce maximum output power when the input signal is applied in the reference direction. The “power RoAoA” could be defined as the contour of the input signal direction over which, when the input power is equal to </w:t>
      </w:r>
      <w:r w:rsidR="00650B1D" w:rsidRPr="007911AE">
        <w:rPr>
          <w:lang w:eastAsia="zh-CN"/>
        </w:rPr>
        <w:t>P</w:t>
      </w:r>
      <w:r w:rsidR="00650B1D" w:rsidRPr="007911AE">
        <w:rPr>
          <w:vertAlign w:val="subscript"/>
          <w:lang w:eastAsia="zh-CN"/>
        </w:rPr>
        <w:t>in,p,EIRP</w:t>
      </w:r>
      <w:r w:rsidR="00650B1D">
        <w:rPr>
          <w:vertAlign w:val="subscript"/>
          <w:lang w:eastAsia="zh-CN"/>
        </w:rPr>
        <w:t>,</w:t>
      </w:r>
      <w:r w:rsidR="00650B1D">
        <w:rPr>
          <w:lang w:val="en-GB" w:eastAsia="ja-JP"/>
        </w:rPr>
        <w:t xml:space="preserve"> the output power is 3dB lower than the output power with the input signal in the reference direction.</w:t>
      </w:r>
    </w:p>
    <w:p w14:paraId="3A160F87" w14:textId="1CF7BD8B" w:rsidR="00650B1D" w:rsidRDefault="00650B1D" w:rsidP="00650B1D">
      <w:pPr>
        <w:pStyle w:val="Proposal"/>
        <w:rPr>
          <w:lang w:val="en-GB"/>
        </w:rPr>
      </w:pPr>
      <w:bookmarkStart w:id="6" w:name="_Toc127430934"/>
      <w:r>
        <w:rPr>
          <w:lang w:val="en-GB"/>
        </w:rPr>
        <w:t>For input intermodulation, apply a factor</w:t>
      </w:r>
      <w:r w:rsidR="00DD23C8">
        <w:rPr>
          <w:lang w:val="en-GB"/>
        </w:rPr>
        <w:t xml:space="preserve"> similar to</w:t>
      </w:r>
      <w:r>
        <w:rPr>
          <w:lang w:val="en-GB"/>
        </w:rPr>
        <w:t xml:space="preserve"> </w:t>
      </w:r>
      <w:r w:rsidRPr="00F95B02">
        <w:t>Δ</w:t>
      </w:r>
      <w:r w:rsidRPr="00F95B02">
        <w:rPr>
          <w:vertAlign w:val="subscript"/>
        </w:rPr>
        <w:t>OTA</w:t>
      </w:r>
      <w:r>
        <w:rPr>
          <w:vertAlign w:val="subscript"/>
        </w:rPr>
        <w:t>REF</w:t>
      </w:r>
      <w:r>
        <w:rPr>
          <w:lang w:val="en-GB"/>
        </w:rPr>
        <w:t xml:space="preserve"> (name TBD) to the repeater input signal power level.</w:t>
      </w:r>
      <w:bookmarkEnd w:id="6"/>
    </w:p>
    <w:p w14:paraId="63A39599" w14:textId="6B41AFD9" w:rsidR="00650B1D" w:rsidRPr="00F64143" w:rsidRDefault="00650B1D" w:rsidP="00650B1D">
      <w:pPr>
        <w:pStyle w:val="Proposal"/>
        <w:rPr>
          <w:lang w:val="en-GB"/>
        </w:rPr>
      </w:pPr>
      <w:bookmarkStart w:id="7" w:name="_Toc127430935"/>
      <w:r w:rsidRPr="00F95B02">
        <w:t>Δ</w:t>
      </w:r>
      <w:r w:rsidRPr="00F95B02">
        <w:rPr>
          <w:vertAlign w:val="subscript"/>
        </w:rPr>
        <w:t>OTA</w:t>
      </w:r>
      <w:r>
        <w:rPr>
          <w:vertAlign w:val="subscript"/>
        </w:rPr>
        <w:t>REF</w:t>
      </w:r>
      <w:r>
        <w:rPr>
          <w:lang w:val="en-GB"/>
        </w:rPr>
        <w:t xml:space="preserve"> can be defined based on the spatial contour of the input signal for which the output power of the repeater is 3dB lower than the rated output power, assuming that the input signal level is </w:t>
      </w:r>
      <w:r w:rsidRPr="007911AE">
        <w:t>P</w:t>
      </w:r>
      <w:r w:rsidRPr="007911AE">
        <w:rPr>
          <w:vertAlign w:val="subscript"/>
        </w:rPr>
        <w:t>in,p,EIRP</w:t>
      </w:r>
      <w:r>
        <w:rPr>
          <w:vertAlign w:val="subscript"/>
        </w:rPr>
        <w:t>.</w:t>
      </w:r>
      <w:bookmarkEnd w:id="7"/>
    </w:p>
    <w:p w14:paraId="0476DD14" w14:textId="5F0BEA0F" w:rsidR="00CC0E8D" w:rsidRDefault="00CC0E8D" w:rsidP="006B31C2">
      <w:pPr>
        <w:rPr>
          <w:lang w:val="en-GB" w:eastAsia="ja-JP"/>
        </w:rPr>
      </w:pPr>
    </w:p>
    <w:p w14:paraId="671F1837" w14:textId="23A70FF5" w:rsidR="00CC0E8D" w:rsidRDefault="00CC0E8D" w:rsidP="006B31C2">
      <w:pPr>
        <w:rPr>
          <w:lang w:val="en-GB" w:eastAsia="ja-JP"/>
        </w:rPr>
      </w:pPr>
      <w:r>
        <w:rPr>
          <w:lang w:val="en-GB" w:eastAsia="ja-JP"/>
        </w:rPr>
        <w:t xml:space="preserve">The output intermodulation requirement </w:t>
      </w:r>
      <w:r w:rsidR="0016051D">
        <w:rPr>
          <w:lang w:val="en-GB" w:eastAsia="ja-JP"/>
        </w:rPr>
        <w:t xml:space="preserve">is defined in the BS specification </w:t>
      </w:r>
      <w:r w:rsidR="003A6BE6">
        <w:rPr>
          <w:lang w:val="en-GB" w:eastAsia="ja-JP"/>
        </w:rPr>
        <w:t>as a co-location requirement.</w:t>
      </w:r>
      <w:r w:rsidR="006B6827">
        <w:rPr>
          <w:lang w:val="en-GB" w:eastAsia="ja-JP"/>
        </w:rPr>
        <w:t xml:space="preserve"> In addition to output intermodulation, also co-location related emissions requirements need to be defined as co-location requirements. Theoretically, for repeaters the output intermodulation and co-location emissions can be defined as co-location requirements using a reference antenna in a similar manner. However, the practical setup of such co-location requirements may be very complex due to the need to supply an input signal to the repeater. This necessitates a signal source as well as the co-location antenna</w:t>
      </w:r>
      <w:r w:rsidR="00B10BD3">
        <w:rPr>
          <w:lang w:val="en-GB" w:eastAsia="ja-JP"/>
        </w:rPr>
        <w:t>. For the co-location related emissions, the emissions from the signal source may also be received at the reference antenna.</w:t>
      </w:r>
    </w:p>
    <w:p w14:paraId="5B1C002C" w14:textId="121444F2" w:rsidR="00B10BD3" w:rsidRDefault="00B10BD3" w:rsidP="00B10BD3">
      <w:pPr>
        <w:pStyle w:val="Proposal"/>
        <w:rPr>
          <w:lang w:val="en-GB"/>
        </w:rPr>
      </w:pPr>
      <w:bookmarkStart w:id="8" w:name="_Toc127430936"/>
      <w:r>
        <w:rPr>
          <w:lang w:val="en-GB"/>
        </w:rPr>
        <w:t xml:space="preserve">RAN4 should discuss further how to define and apply co-location requirements (for emissions and output intermodulation) considering the complexities of needing </w:t>
      </w:r>
      <w:r>
        <w:rPr>
          <w:lang w:val="en-GB"/>
        </w:rPr>
        <w:lastRenderedPageBreak/>
        <w:t>both a reference co-location antenna and of supplying a stimulus signal to the repeater.</w:t>
      </w:r>
      <w:bookmarkEnd w:id="8"/>
    </w:p>
    <w:p w14:paraId="0C9BB1E1" w14:textId="77777777" w:rsidR="00B10BD3" w:rsidRDefault="00B10BD3" w:rsidP="006B31C2">
      <w:pPr>
        <w:rPr>
          <w:lang w:val="en-GB" w:eastAsia="ja-JP"/>
        </w:rPr>
      </w:pPr>
    </w:p>
    <w:p w14:paraId="7E11D98D" w14:textId="170467FC" w:rsidR="00B10BD3" w:rsidRDefault="007F4257" w:rsidP="006B31C2">
      <w:pPr>
        <w:rPr>
          <w:lang w:val="en-GB" w:eastAsia="ja-JP"/>
        </w:rPr>
      </w:pPr>
      <w:r>
        <w:rPr>
          <w:lang w:val="en-GB" w:eastAsia="ja-JP"/>
        </w:rPr>
        <w:t xml:space="preserve">The TDD OFF power requirement is specified as a co-location requirement </w:t>
      </w:r>
      <w:r w:rsidR="00A957BB">
        <w:rPr>
          <w:lang w:val="en-GB" w:eastAsia="ja-JP"/>
        </w:rPr>
        <w:t>in FR1 for type 1-O BS. For a repeater, a co-</w:t>
      </w:r>
      <w:r w:rsidR="00F47A03">
        <w:rPr>
          <w:lang w:val="en-GB" w:eastAsia="ja-JP"/>
        </w:rPr>
        <w:t>location</w:t>
      </w:r>
      <w:r w:rsidR="00A957BB">
        <w:rPr>
          <w:lang w:val="en-GB" w:eastAsia="ja-JP"/>
        </w:rPr>
        <w:t xml:space="preserve"> setup can theoretically be applied. The stimulus signal may be received by the co-location antenna as well as the repeater, however since the measurement is expected to be made during times at which the stimulus signal is OFF, this should not be an issue.</w:t>
      </w:r>
    </w:p>
    <w:p w14:paraId="4AB3F17F" w14:textId="734D5043" w:rsidR="00A957BB" w:rsidRDefault="00A957BB" w:rsidP="00A957BB">
      <w:pPr>
        <w:pStyle w:val="Proposal"/>
        <w:rPr>
          <w:lang w:val="en-GB"/>
        </w:rPr>
      </w:pPr>
      <w:bookmarkStart w:id="9" w:name="_Toc127430937"/>
      <w:r>
        <w:rPr>
          <w:lang w:val="en-GB"/>
        </w:rPr>
        <w:t>Most likely, it is straightforward to apply the transmitter OFF requirement as a co-</w:t>
      </w:r>
      <w:r w:rsidR="00991414">
        <w:rPr>
          <w:lang w:val="en-GB"/>
        </w:rPr>
        <w:t>location</w:t>
      </w:r>
      <w:r>
        <w:rPr>
          <w:lang w:val="en-GB"/>
        </w:rPr>
        <w:t xml:space="preserve"> requirement for repeater type 1-O.</w:t>
      </w:r>
      <w:bookmarkEnd w:id="9"/>
    </w:p>
    <w:p w14:paraId="7E17D8DF" w14:textId="77777777" w:rsidR="00A957BB" w:rsidRDefault="00A957BB" w:rsidP="006B31C2">
      <w:pPr>
        <w:rPr>
          <w:lang w:val="en-GB" w:eastAsia="ja-JP"/>
        </w:rPr>
      </w:pPr>
    </w:p>
    <w:p w14:paraId="04F3F55F" w14:textId="0E7F64E4" w:rsidR="006E062C" w:rsidRDefault="00B409E0" w:rsidP="00CE0424">
      <w:pPr>
        <w:pStyle w:val="Heading1"/>
      </w:pPr>
      <w:bookmarkStart w:id="10" w:name="_Ref189046994"/>
      <w:r>
        <w:t>3</w:t>
      </w:r>
      <w:r>
        <w:tab/>
      </w:r>
      <w:bookmarkEnd w:id="10"/>
      <w:r w:rsidR="00FB443B">
        <w:t>NCR-MT requirements</w:t>
      </w:r>
    </w:p>
    <w:p w14:paraId="1E18E3E1" w14:textId="671DDE35" w:rsidR="0092075B" w:rsidRDefault="0092075B" w:rsidP="0092075B"/>
    <w:p w14:paraId="2FC1CA79" w14:textId="242229D0" w:rsidR="00FB443B" w:rsidRPr="006B31C2" w:rsidRDefault="00FB443B" w:rsidP="00FB443B">
      <w:pPr>
        <w:rPr>
          <w:lang w:val="en-GB" w:eastAsia="ja-JP"/>
        </w:rPr>
      </w:pPr>
      <w:r>
        <w:rPr>
          <w:lang w:val="en-GB" w:eastAsia="ja-JP"/>
        </w:rPr>
        <w:t xml:space="preserve">It was agreed in [1] that for the </w:t>
      </w:r>
      <w:r w:rsidR="006C060C">
        <w:rPr>
          <w:lang w:val="en-GB" w:eastAsia="ja-JP"/>
        </w:rPr>
        <w:t>NCR</w:t>
      </w:r>
      <w:r>
        <w:rPr>
          <w:lang w:val="en-GB" w:eastAsia="ja-JP"/>
        </w:rPr>
        <w:t>-MT, the legacy rel-17 repeater requirements should be applicable</w:t>
      </w:r>
      <w:r w:rsidR="008915C2">
        <w:rPr>
          <w:lang w:val="en-GB" w:eastAsia="ja-JP"/>
        </w:rPr>
        <w:t xml:space="preserve"> as a baseline. However, further consideration is needed because in some cases repeater requirements </w:t>
      </w:r>
      <w:r w:rsidR="006C060C">
        <w:rPr>
          <w:lang w:val="en-GB" w:eastAsia="ja-JP"/>
        </w:rPr>
        <w:t>are not suitable for the NCR-MT. Also, for the requirements that are applicable, in some cases the measurements from the NCR</w:t>
      </w:r>
      <w:r w:rsidR="00DF7802">
        <w:rPr>
          <w:lang w:val="en-GB" w:eastAsia="ja-JP"/>
        </w:rPr>
        <w:t xml:space="preserve">-FWD and NCR-MT should be summed (or measured together), whereas in some cases the requirements should be defined in a common way but applied separately. Also, there are likely to be some </w:t>
      </w:r>
      <w:r w:rsidR="00E722B9">
        <w:rPr>
          <w:lang w:val="en-GB" w:eastAsia="ja-JP"/>
        </w:rPr>
        <w:t>additional requirements that are needed for NCR-MT but not needed for NCR-FWD.</w:t>
      </w:r>
    </w:p>
    <w:p w14:paraId="7FE2749C" w14:textId="77777777" w:rsidR="00FB443B" w:rsidRPr="0092075B" w:rsidRDefault="00FB443B" w:rsidP="0092075B"/>
    <w:p w14:paraId="3BEAE237" w14:textId="7B483C90" w:rsidR="003B64BB" w:rsidRDefault="003B64BB" w:rsidP="003B64BB">
      <w:pPr>
        <w:pStyle w:val="Heading2"/>
      </w:pPr>
      <w:r>
        <w:t>3.1</w:t>
      </w:r>
      <w:r>
        <w:tab/>
      </w:r>
      <w:r w:rsidR="00591A3E">
        <w:t>Applicability of NCR-FWD requirements for NCR-MT</w:t>
      </w:r>
    </w:p>
    <w:p w14:paraId="07D6FF78" w14:textId="77777777" w:rsidR="00753AF5" w:rsidRDefault="00753AF5" w:rsidP="00F60203">
      <w:pPr>
        <w:rPr>
          <w:u w:val="single"/>
        </w:rPr>
      </w:pPr>
    </w:p>
    <w:p w14:paraId="27405F10" w14:textId="0615A7E7" w:rsidR="002C66EE" w:rsidRDefault="00753AF5" w:rsidP="00F60203">
      <w:pPr>
        <w:rPr>
          <w:u w:val="single"/>
        </w:rPr>
      </w:pPr>
      <w:r>
        <w:rPr>
          <w:u w:val="single"/>
        </w:rPr>
        <w:t>Power related requirements</w:t>
      </w:r>
    </w:p>
    <w:p w14:paraId="1C125362" w14:textId="552E1E1B" w:rsidR="00753AF5" w:rsidRDefault="00753AF5" w:rsidP="00F60203">
      <w:r>
        <w:t xml:space="preserve">In section 2, It is </w:t>
      </w:r>
      <w:r w:rsidR="00E86E03">
        <w:t>proposed that</w:t>
      </w:r>
      <w:r w:rsidR="00986FE3">
        <w:t xml:space="preserve"> for a type 1-O repeater, requirements should be set on TRP and EIRP accuracy for the NCR-FWD.</w:t>
      </w:r>
    </w:p>
    <w:p w14:paraId="6545DEE7" w14:textId="0F4103FE" w:rsidR="00986FE3" w:rsidRDefault="00986FE3" w:rsidP="00F60203">
      <w:r>
        <w:t>For the NCR-MT, in principle the same approach should be used with requirements on TRP and EIRP accuracy. We propose that, similar to IAB-MT, the requirements on TRP and EIRP accuracy are set using the BS approach.</w:t>
      </w:r>
    </w:p>
    <w:p w14:paraId="4C42D4FB" w14:textId="74E656FC" w:rsidR="00986FE3" w:rsidRDefault="00986FE3" w:rsidP="00986FE3">
      <w:pPr>
        <w:pStyle w:val="Proposal"/>
      </w:pPr>
      <w:bookmarkStart w:id="11" w:name="_Toc127430938"/>
      <w:r>
        <w:t>For NCR-MT, set requirements on TRP and EIRP accuracy using the BS approach (i.e., same as for IAB-MT)</w:t>
      </w:r>
      <w:bookmarkEnd w:id="11"/>
    </w:p>
    <w:p w14:paraId="293EF4AA" w14:textId="77777777" w:rsidR="0041377D" w:rsidRDefault="0041377D" w:rsidP="00F60203"/>
    <w:p w14:paraId="5D9D703A" w14:textId="055C46C8" w:rsidR="00986FE3" w:rsidRDefault="00986FE3" w:rsidP="00F60203">
      <w:r>
        <w:t xml:space="preserve">For TRP, the question arises whether </w:t>
      </w:r>
      <w:r w:rsidR="00146596">
        <w:t>the declared and tested TRP should be based on the sum of the output power from NCR-FWD and NCR-MT or it should be individual.</w:t>
      </w:r>
      <w:r w:rsidR="00341F6F">
        <w:t xml:space="preserve"> At RAN4#104bis-e, it was agreed that a baseline assumption should be that NCR-FWD and NCR-MT have the same class, and so declaring and testing the TRP together for NCR-FWD and NCR-MT is feasible and could make sense</w:t>
      </w:r>
      <w:r w:rsidR="009B28C3">
        <w:t>. On the other hand, the argument to define the TRP as a sum is not compelling.</w:t>
      </w:r>
    </w:p>
    <w:p w14:paraId="4014096C" w14:textId="5F7B841A" w:rsidR="009B28C3" w:rsidRDefault="009B28C3" w:rsidP="009B28C3">
      <w:pPr>
        <w:pStyle w:val="Proposal"/>
      </w:pPr>
      <w:bookmarkStart w:id="12" w:name="_Toc127430939"/>
      <w:r>
        <w:t>RAN4 to discuss and agree whether to define TRP as the sum power from NCR-MT and NCR-FWD or to define TRP separately for each.</w:t>
      </w:r>
      <w:bookmarkEnd w:id="12"/>
    </w:p>
    <w:p w14:paraId="16EFEDF4" w14:textId="3DE79B55" w:rsidR="009B28C3" w:rsidRDefault="009B28C3" w:rsidP="00F60203">
      <w:r>
        <w:t xml:space="preserve">For the EIRP accuracy, </w:t>
      </w:r>
      <w:r w:rsidR="001642FE">
        <w:t xml:space="preserve">a similar consideration is needed </w:t>
      </w:r>
      <w:r w:rsidR="00615375">
        <w:t xml:space="preserve">as to whether the EIRP declarations are made jointly for the NCR-FWD and NCR-MT, with the requirement being on the sum of the EIRP from both or whether the declarations and testing should be separate. If the declarations and testing are joint then the assumption would be that the beamforming capabilities for the NCR-MT would be the same as for the NCR-FWD, although it would not </w:t>
      </w:r>
      <w:r w:rsidR="00ED0BB9">
        <w:t xml:space="preserve">be strictly necessary to assume that </w:t>
      </w:r>
      <w:r w:rsidR="002026E1">
        <w:t xml:space="preserve">during operation the two components point </w:t>
      </w:r>
      <w:r w:rsidR="002026E1">
        <w:lastRenderedPageBreak/>
        <w:t>beams in the same direction simultaneously. Most likely it is a good approach to assume the same declarations and a sum EIRP for NCR-MT and NCR-FWD</w:t>
      </w:r>
      <w:r w:rsidR="00247633">
        <w:t>, although we encourage to discuss further.</w:t>
      </w:r>
    </w:p>
    <w:p w14:paraId="793ED455" w14:textId="5FC37313" w:rsidR="00247633" w:rsidRDefault="00247633" w:rsidP="00247633">
      <w:pPr>
        <w:pStyle w:val="Proposal"/>
      </w:pPr>
      <w:bookmarkStart w:id="13" w:name="_Toc127430940"/>
      <w:r>
        <w:t>RAN4 to discuss and agree whether to define EIRP as the sum EIRP from NCR-MT and NCR-FWD based on a common set of declarations or to define EIRP accuracy separately for each.</w:t>
      </w:r>
      <w:bookmarkEnd w:id="13"/>
    </w:p>
    <w:p w14:paraId="1E8C991C" w14:textId="77777777" w:rsidR="008667DC" w:rsidRDefault="008667DC" w:rsidP="00F60203">
      <w:pPr>
        <w:rPr>
          <w:u w:val="single"/>
        </w:rPr>
      </w:pPr>
    </w:p>
    <w:p w14:paraId="0447CBDD" w14:textId="197E54EC" w:rsidR="00247633" w:rsidRPr="008667DC" w:rsidRDefault="008667DC" w:rsidP="00F60203">
      <w:pPr>
        <w:rPr>
          <w:u w:val="single"/>
        </w:rPr>
      </w:pPr>
      <w:r w:rsidRPr="008667DC">
        <w:rPr>
          <w:u w:val="single"/>
        </w:rPr>
        <w:t>Signal quality related requirements</w:t>
      </w:r>
    </w:p>
    <w:p w14:paraId="7F157367" w14:textId="0F8C563B" w:rsidR="008667DC" w:rsidRDefault="00807D5D" w:rsidP="00F60203">
      <w:r>
        <w:t xml:space="preserve">For the NCR-FWD, two requirements are defined </w:t>
      </w:r>
      <w:r w:rsidR="00606F32">
        <w:t>on “repeater EVM” and frequency accuracy. Both of these requirements are defined on an output signal relative to an input signal and so are no applicable for the NCR-MT.</w:t>
      </w:r>
    </w:p>
    <w:p w14:paraId="444ABCA4" w14:textId="64BC70F7" w:rsidR="00606F32" w:rsidRDefault="00AE5DF3" w:rsidP="00606F32">
      <w:pPr>
        <w:pStyle w:val="Proposal"/>
      </w:pPr>
      <w:bookmarkStart w:id="14" w:name="_Toc127430941"/>
      <w:r>
        <w:t>The repeater EVM and frequency accuracy requirements in the repeater specification are applicable for NCR-FWD only.</w:t>
      </w:r>
      <w:bookmarkEnd w:id="14"/>
    </w:p>
    <w:p w14:paraId="15D4BF3F" w14:textId="44100A66" w:rsidR="00606F32" w:rsidRDefault="00330541" w:rsidP="00F60203">
      <w:r>
        <w:t xml:space="preserve">For the NCR-MT, we propose that EVM and frequency accuracy requirements are set using the </w:t>
      </w:r>
      <w:r w:rsidR="00E5632E">
        <w:t>IAB-MT specification as a reference.</w:t>
      </w:r>
    </w:p>
    <w:p w14:paraId="0096D2BB" w14:textId="11347EB0" w:rsidR="00E5632E" w:rsidRDefault="00FD250E" w:rsidP="00E5632E">
      <w:pPr>
        <w:pStyle w:val="Proposal"/>
      </w:pPr>
      <w:bookmarkStart w:id="15" w:name="_Toc127430942"/>
      <w:r>
        <w:t>For the NCR-MT, set requirements on frequency accuracy and EVM using the IAB-MT specification as a reference.</w:t>
      </w:r>
      <w:bookmarkEnd w:id="15"/>
    </w:p>
    <w:p w14:paraId="0AB9850B" w14:textId="0A31BF9B" w:rsidR="00FD250E" w:rsidRDefault="00FD250E" w:rsidP="00F60203"/>
    <w:p w14:paraId="31905129" w14:textId="066195EE" w:rsidR="00FD250E" w:rsidRPr="00FD250E" w:rsidRDefault="00FD250E" w:rsidP="00F60203">
      <w:pPr>
        <w:rPr>
          <w:u w:val="single"/>
        </w:rPr>
      </w:pPr>
      <w:r>
        <w:rPr>
          <w:u w:val="single"/>
        </w:rPr>
        <w:t>Unwanted OOB gain and ACRR requirements</w:t>
      </w:r>
    </w:p>
    <w:p w14:paraId="366BBB87" w14:textId="6BC3AB04" w:rsidR="00E5632E" w:rsidRDefault="00FD250E" w:rsidP="00F60203">
      <w:r>
        <w:t>The unwanted OOB gain and ACRR requirements are not relevant for the NCR-MT.</w:t>
      </w:r>
    </w:p>
    <w:p w14:paraId="78953FF5" w14:textId="7209FE04" w:rsidR="00FD250E" w:rsidRDefault="00FD250E" w:rsidP="00FD250E">
      <w:pPr>
        <w:pStyle w:val="Proposal"/>
      </w:pPr>
      <w:bookmarkStart w:id="16" w:name="_Toc127430943"/>
      <w:r>
        <w:t>Requirements on OOB gain and ACRR should be applied for NCR-FWD only</w:t>
      </w:r>
      <w:bookmarkEnd w:id="16"/>
    </w:p>
    <w:p w14:paraId="4C84B85B" w14:textId="470D655E" w:rsidR="00FD250E" w:rsidRDefault="00FD250E" w:rsidP="00F60203"/>
    <w:p w14:paraId="67F69DD7" w14:textId="752DE6FD" w:rsidR="00FD250E" w:rsidRPr="00FD250E" w:rsidRDefault="00FD250E" w:rsidP="00F60203">
      <w:pPr>
        <w:rPr>
          <w:u w:val="single"/>
        </w:rPr>
      </w:pPr>
      <w:r>
        <w:rPr>
          <w:u w:val="single"/>
        </w:rPr>
        <w:t>Unwanted emissions and TX intermodulation</w:t>
      </w:r>
    </w:p>
    <w:p w14:paraId="1E2FECBF" w14:textId="3068848F" w:rsidR="00FD250E" w:rsidRDefault="0084084E" w:rsidP="00F60203">
      <w:r>
        <w:t>The unwanted emissions requirements protect other operators using the band as well as other systems outside of the band. They are defined as TRP, and in some cases co-location requirements</w:t>
      </w:r>
      <w:r w:rsidR="002D26AB">
        <w:t>. In several cases, the unwanted emissions requirements are related to regulatory requirements in different regions.</w:t>
      </w:r>
    </w:p>
    <w:p w14:paraId="34B23A5E" w14:textId="32B7B6A7" w:rsidR="002D26AB" w:rsidRDefault="00407C1E" w:rsidP="00F60203">
      <w:r>
        <w:t xml:space="preserve">The requirements are generally set as maximum limits per piece of equipment. To ensure that regulatory limits are still met and that </w:t>
      </w:r>
      <w:r w:rsidR="00C11BE7">
        <w:t>other spectrum users are properly protected, it makes sense to set the emissions requirements on the sum of emissions from both the NCR-FWD and NCR-MT. If the emissions requirements would be set separately for NCR-FWD and NCR-MT, then when both transmit together there would be a 3dB increase in unwanted emissions.</w:t>
      </w:r>
    </w:p>
    <w:p w14:paraId="4CE6F91D" w14:textId="37530F81" w:rsidR="00C11BE7" w:rsidRDefault="00C11BE7" w:rsidP="00C11BE7">
      <w:pPr>
        <w:pStyle w:val="Proposal"/>
      </w:pPr>
      <w:bookmarkStart w:id="17" w:name="_Toc127430944"/>
      <w:r>
        <w:t>Define unwanted emissions limits as limits on the sum of the emissions from NCR-FWD and NCR-MT when both are transmitting.</w:t>
      </w:r>
      <w:bookmarkEnd w:id="17"/>
    </w:p>
    <w:p w14:paraId="2A4892D1" w14:textId="52610DBA" w:rsidR="00C11BE7" w:rsidRDefault="00C11BE7" w:rsidP="00F60203">
      <w:r>
        <w:t>The TX intermodulation requirement can be applied when both NCR-FWD and NCR-MT are transmitting.</w:t>
      </w:r>
    </w:p>
    <w:p w14:paraId="705885BD" w14:textId="0F0F9674" w:rsidR="00C11BE7" w:rsidRDefault="00C11BE7" w:rsidP="00F60203"/>
    <w:p w14:paraId="640B9E1B" w14:textId="00756001" w:rsidR="00C11BE7" w:rsidRDefault="00C11BE7" w:rsidP="00F60203">
      <w:pPr>
        <w:rPr>
          <w:u w:val="single"/>
        </w:rPr>
      </w:pPr>
      <w:r>
        <w:rPr>
          <w:u w:val="single"/>
        </w:rPr>
        <w:t>Input intermodulation</w:t>
      </w:r>
    </w:p>
    <w:p w14:paraId="31F0A4DD" w14:textId="080E3250" w:rsidR="004800DE" w:rsidRPr="004800DE" w:rsidRDefault="003F1EA8" w:rsidP="00F60203">
      <w:r>
        <w:t>The input intermodulation requiremen</w:t>
      </w:r>
      <w:r w:rsidR="00296436">
        <w:t>t</w:t>
      </w:r>
      <w:r>
        <w:t xml:space="preserve"> relates to input signals and is not relevant to the NCR-MT.</w:t>
      </w:r>
    </w:p>
    <w:p w14:paraId="7CF07698" w14:textId="00D834FD" w:rsidR="00591A3E" w:rsidRDefault="00296436" w:rsidP="00296436">
      <w:pPr>
        <w:pStyle w:val="Proposal"/>
      </w:pPr>
      <w:bookmarkStart w:id="18" w:name="_Toc127430945"/>
      <w:r>
        <w:t>Input intermodulation requirements should be applied for NCR-FWD only.</w:t>
      </w:r>
      <w:bookmarkEnd w:id="18"/>
    </w:p>
    <w:p w14:paraId="7AA819E5" w14:textId="39446200" w:rsidR="00296436" w:rsidRDefault="00296436" w:rsidP="00F60203"/>
    <w:p w14:paraId="0F706665" w14:textId="6E3313CC" w:rsidR="00296436" w:rsidRDefault="00296436" w:rsidP="00F60203">
      <w:pPr>
        <w:rPr>
          <w:u w:val="single"/>
        </w:rPr>
      </w:pPr>
      <w:r>
        <w:rPr>
          <w:u w:val="single"/>
        </w:rPr>
        <w:t>TDD off power requirement</w:t>
      </w:r>
    </w:p>
    <w:p w14:paraId="388B67EE" w14:textId="293F0843" w:rsidR="00296436" w:rsidRDefault="00B95A45" w:rsidP="00F60203">
      <w:r>
        <w:t>The TDD off power and TDD transient time requirements regulate the interference arising within TDD networks. In order to maintain the same interference effects as for a BS or Rel-17 repeater, it makes sense to apply the TDD OFF power limit to the sum of the NCR-FWD and NCR-MT outputs.</w:t>
      </w:r>
    </w:p>
    <w:p w14:paraId="722CC0A3" w14:textId="768336F8" w:rsidR="00B95A45" w:rsidRDefault="00B95A45" w:rsidP="00B95A45">
      <w:pPr>
        <w:pStyle w:val="Proposal"/>
      </w:pPr>
      <w:bookmarkStart w:id="19" w:name="_Toc127430946"/>
      <w:r>
        <w:lastRenderedPageBreak/>
        <w:t>Apply the TDD OFF power requirement to the sum of the NCR-FWD and NCR-MT outputs</w:t>
      </w:r>
      <w:r w:rsidR="00021FDF">
        <w:t>.</w:t>
      </w:r>
      <w:bookmarkEnd w:id="19"/>
    </w:p>
    <w:p w14:paraId="73B51FD3" w14:textId="24C677EF" w:rsidR="00B95A45" w:rsidRDefault="00B95A45" w:rsidP="00F60203"/>
    <w:p w14:paraId="47D82FE9" w14:textId="08175A4B" w:rsidR="00521A36" w:rsidRDefault="0060225E" w:rsidP="00521A36">
      <w:pPr>
        <w:pStyle w:val="Heading2"/>
      </w:pPr>
      <w:r>
        <w:t>3.2</w:t>
      </w:r>
      <w:r>
        <w:tab/>
        <w:t>Additional</w:t>
      </w:r>
      <w:r w:rsidR="00521A36">
        <w:t xml:space="preserve"> requirements for NCR-MT</w:t>
      </w:r>
    </w:p>
    <w:p w14:paraId="02EF9218" w14:textId="106B66D9" w:rsidR="0060225E" w:rsidRDefault="0060225E" w:rsidP="0060225E">
      <w:pPr>
        <w:rPr>
          <w:lang w:val="en-GB" w:eastAsia="ja-JP"/>
        </w:rPr>
      </w:pPr>
      <w:r>
        <w:rPr>
          <w:lang w:val="en-GB" w:eastAsia="ja-JP"/>
        </w:rPr>
        <w:t xml:space="preserve">The NCR-MT is a transmitting and receiving sub-system that is different to the NCR-FWD. In addition to </w:t>
      </w:r>
      <w:r w:rsidR="00C52689">
        <w:rPr>
          <w:lang w:val="en-GB" w:eastAsia="ja-JP"/>
        </w:rPr>
        <w:t>NCR-FWD requirements that may be applied for NCR-MT, some additional requirements should be considered.</w:t>
      </w:r>
    </w:p>
    <w:p w14:paraId="03554A35" w14:textId="77777777" w:rsidR="00432D4C" w:rsidRDefault="00432D4C" w:rsidP="0060225E">
      <w:pPr>
        <w:rPr>
          <w:lang w:val="en-GB" w:eastAsia="ja-JP"/>
        </w:rPr>
      </w:pPr>
    </w:p>
    <w:p w14:paraId="4695B0DA" w14:textId="7A0C8FA5" w:rsidR="00C52689" w:rsidRDefault="00432D4C" w:rsidP="0060225E">
      <w:pPr>
        <w:rPr>
          <w:u w:val="single"/>
          <w:lang w:val="en-GB" w:eastAsia="ja-JP"/>
        </w:rPr>
      </w:pPr>
      <w:r>
        <w:rPr>
          <w:u w:val="single"/>
          <w:lang w:val="en-GB" w:eastAsia="ja-JP"/>
        </w:rPr>
        <w:t>Output power dynamics and power control</w:t>
      </w:r>
    </w:p>
    <w:p w14:paraId="4EEF9638" w14:textId="6A8A936D" w:rsidR="00432D4C" w:rsidRDefault="002B58DF" w:rsidP="0060225E">
      <w:pPr>
        <w:rPr>
          <w:lang w:val="en-GB" w:eastAsia="ja-JP"/>
        </w:rPr>
      </w:pPr>
      <w:r>
        <w:rPr>
          <w:lang w:val="en-GB" w:eastAsia="ja-JP"/>
        </w:rPr>
        <w:t xml:space="preserve">For the IAB-MT, the output power dynamics requirement </w:t>
      </w:r>
      <w:r w:rsidR="00434AC4">
        <w:rPr>
          <w:lang w:val="en-GB" w:eastAsia="ja-JP"/>
        </w:rPr>
        <w:t>is the maximum power control dynamic range between maximum and minimum power. The IAB-MT requirement differs between the different IAB-MT classes due to differing expectations of the propagation conditions and also hardware capability. For a WA IAB-MT, it may be expected that the propagation condition is close to LoS and the</w:t>
      </w:r>
      <w:r w:rsidR="006F7071">
        <w:rPr>
          <w:lang w:val="en-GB" w:eastAsia="ja-JP"/>
        </w:rPr>
        <w:t xml:space="preserve"> variation in power is lower than for the LA IAB-MT class.</w:t>
      </w:r>
    </w:p>
    <w:p w14:paraId="6146A5DF" w14:textId="1EA42A11" w:rsidR="006F7071" w:rsidRDefault="006F7071" w:rsidP="0060225E">
      <w:pPr>
        <w:rPr>
          <w:lang w:val="en-GB" w:eastAsia="ja-JP"/>
        </w:rPr>
      </w:pPr>
      <w:r>
        <w:rPr>
          <w:lang w:val="en-GB" w:eastAsia="ja-JP"/>
        </w:rPr>
        <w:t xml:space="preserve">It is likely that the same logic and limits can be applied for the NCR-MT. However RAN4 should discuss whether the propagation conditions for </w:t>
      </w:r>
      <w:r w:rsidR="002F424B">
        <w:rPr>
          <w:lang w:val="en-GB" w:eastAsia="ja-JP"/>
        </w:rPr>
        <w:t>NCR-MT</w:t>
      </w:r>
      <w:r w:rsidR="006162F3">
        <w:rPr>
          <w:lang w:val="en-GB" w:eastAsia="ja-JP"/>
        </w:rPr>
        <w:t xml:space="preserve"> are always expected to be the same as for the corresponding IAB-MT classes.</w:t>
      </w:r>
    </w:p>
    <w:p w14:paraId="1AEE9D14" w14:textId="6D07D250" w:rsidR="006162F3" w:rsidRDefault="006162F3" w:rsidP="006162F3">
      <w:pPr>
        <w:pStyle w:val="Proposal"/>
        <w:rPr>
          <w:lang w:val="en-GB"/>
        </w:rPr>
      </w:pPr>
      <w:bookmarkStart w:id="20" w:name="_Toc127430947"/>
      <w:r>
        <w:rPr>
          <w:lang w:val="en-GB"/>
        </w:rPr>
        <w:t>RAN4 to double check that the propagation conditions and expected power control dynamic range for the NCR-MT classes is expected to be the same as for the IAB-MT classes</w:t>
      </w:r>
      <w:r w:rsidR="00723A94">
        <w:rPr>
          <w:lang w:val="en-GB"/>
        </w:rPr>
        <w:t>.</w:t>
      </w:r>
      <w:bookmarkEnd w:id="20"/>
    </w:p>
    <w:p w14:paraId="381507FA" w14:textId="0C4606E0" w:rsidR="006162F3" w:rsidRDefault="00335DF5" w:rsidP="0060225E">
      <w:pPr>
        <w:rPr>
          <w:lang w:val="en-GB" w:eastAsia="ja-JP"/>
        </w:rPr>
      </w:pPr>
      <w:r>
        <w:rPr>
          <w:lang w:val="en-GB" w:eastAsia="ja-JP"/>
        </w:rPr>
        <w:t>The power control tolerance requirement for IAB-MT can likely be used for NCR-MT.</w:t>
      </w:r>
    </w:p>
    <w:p w14:paraId="7582685C" w14:textId="51D7A78F" w:rsidR="00335DF5" w:rsidRDefault="00335DF5" w:rsidP="00335DF5">
      <w:pPr>
        <w:pStyle w:val="Proposal"/>
        <w:rPr>
          <w:lang w:val="en-GB"/>
        </w:rPr>
      </w:pPr>
      <w:bookmarkStart w:id="21" w:name="_Toc127430948"/>
      <w:r>
        <w:rPr>
          <w:lang w:val="en-GB"/>
        </w:rPr>
        <w:t>For NCR-MT, apply the same power control tolerance requirement as for IAB-MT.</w:t>
      </w:r>
      <w:bookmarkEnd w:id="21"/>
    </w:p>
    <w:p w14:paraId="00E0D4CD" w14:textId="238557C5" w:rsidR="00335DF5" w:rsidRDefault="00335DF5" w:rsidP="0060225E">
      <w:pPr>
        <w:rPr>
          <w:lang w:val="en-GB" w:eastAsia="ja-JP"/>
        </w:rPr>
      </w:pPr>
    </w:p>
    <w:p w14:paraId="4D84E786" w14:textId="5E7C40B9" w:rsidR="00821424" w:rsidRDefault="00184C13" w:rsidP="0060225E">
      <w:pPr>
        <w:rPr>
          <w:u w:val="single"/>
          <w:lang w:val="en-GB" w:eastAsia="ja-JP"/>
        </w:rPr>
      </w:pPr>
      <w:r>
        <w:rPr>
          <w:u w:val="single"/>
          <w:lang w:val="en-GB" w:eastAsia="ja-JP"/>
        </w:rPr>
        <w:t>Reference sensitivity</w:t>
      </w:r>
    </w:p>
    <w:p w14:paraId="5FCBDA50" w14:textId="24BAABD0" w:rsidR="00184C13" w:rsidRDefault="00184C13" w:rsidP="0060225E">
      <w:pPr>
        <w:rPr>
          <w:lang w:val="en-GB" w:eastAsia="ja-JP"/>
        </w:rPr>
      </w:pPr>
      <w:r>
        <w:rPr>
          <w:lang w:val="en-GB" w:eastAsia="ja-JP"/>
        </w:rPr>
        <w:t>It has already been agreed at RAN4#105 to define a reference sensitivity requirement for NCR-MT. Most likely, the IAB-MT reference sensitivity requirement can be used.</w:t>
      </w:r>
    </w:p>
    <w:p w14:paraId="285E05E8" w14:textId="4FA466D3" w:rsidR="00184C13" w:rsidRDefault="00184C13" w:rsidP="00184C13">
      <w:pPr>
        <w:pStyle w:val="Proposal"/>
        <w:rPr>
          <w:lang w:val="en-GB"/>
        </w:rPr>
      </w:pPr>
      <w:bookmarkStart w:id="22" w:name="_Toc127430949"/>
      <w:r>
        <w:rPr>
          <w:lang w:val="en-GB"/>
        </w:rPr>
        <w:t xml:space="preserve">Define the NCR-MT reference sensitivity requirement based on </w:t>
      </w:r>
      <w:r w:rsidR="001F36DF">
        <w:rPr>
          <w:lang w:val="en-GB"/>
        </w:rPr>
        <w:t>IAB-MT</w:t>
      </w:r>
      <w:bookmarkEnd w:id="22"/>
    </w:p>
    <w:p w14:paraId="71097B53" w14:textId="77777777" w:rsidR="001F36DF" w:rsidRDefault="001F36DF" w:rsidP="001F36DF">
      <w:pPr>
        <w:pStyle w:val="Proposal"/>
        <w:numPr>
          <w:ilvl w:val="0"/>
          <w:numId w:val="0"/>
        </w:numPr>
        <w:ind w:left="1701"/>
        <w:rPr>
          <w:lang w:val="en-GB"/>
        </w:rPr>
      </w:pPr>
    </w:p>
    <w:p w14:paraId="6285D33E" w14:textId="0125D24F" w:rsidR="00184C13" w:rsidRDefault="00A10937" w:rsidP="0060225E">
      <w:pPr>
        <w:rPr>
          <w:u w:val="single"/>
          <w:lang w:val="en-GB" w:eastAsia="ja-JP"/>
        </w:rPr>
      </w:pPr>
      <w:r>
        <w:rPr>
          <w:u w:val="single"/>
          <w:lang w:val="en-GB" w:eastAsia="ja-JP"/>
        </w:rPr>
        <w:t>ACS and blocking requirements</w:t>
      </w:r>
    </w:p>
    <w:p w14:paraId="243307F2" w14:textId="3EA426B6" w:rsidR="00A10937" w:rsidRDefault="00011142" w:rsidP="0060225E">
      <w:pPr>
        <w:rPr>
          <w:lang w:val="en-GB" w:eastAsia="ja-JP"/>
        </w:rPr>
      </w:pPr>
      <w:r>
        <w:rPr>
          <w:lang w:val="en-GB" w:eastAsia="ja-JP"/>
        </w:rPr>
        <w:t>Adjacent channel selectivity and in-band blocking requirements are not defined for NCR-FWD</w:t>
      </w:r>
      <w:r w:rsidR="00157FDA">
        <w:rPr>
          <w:lang w:val="en-GB" w:eastAsia="ja-JP"/>
        </w:rPr>
        <w:t xml:space="preserve">, as they are not relevant for an RF repeater. However for the NCR-MT, which is a transmit/receive device such requirements are relevant and should be defined. </w:t>
      </w:r>
    </w:p>
    <w:p w14:paraId="3A6DF3CD" w14:textId="48A814D4" w:rsidR="004839CA" w:rsidRDefault="004839CA" w:rsidP="004839CA">
      <w:pPr>
        <w:pStyle w:val="Proposal"/>
        <w:rPr>
          <w:lang w:val="en-GB"/>
        </w:rPr>
      </w:pPr>
      <w:bookmarkStart w:id="23" w:name="_Toc127430950"/>
      <w:r>
        <w:rPr>
          <w:lang w:val="en-GB"/>
        </w:rPr>
        <w:t>Define ACS and general and narrowband blocking requirements for NCR-MT, based on IAB-MT requirements.</w:t>
      </w:r>
      <w:bookmarkEnd w:id="23"/>
    </w:p>
    <w:p w14:paraId="4B1186B5" w14:textId="1678DBE5" w:rsidR="004839CA" w:rsidRDefault="0031266A" w:rsidP="0060225E">
      <w:pPr>
        <w:rPr>
          <w:lang w:val="en-GB" w:eastAsia="ja-JP"/>
        </w:rPr>
      </w:pPr>
      <w:r>
        <w:rPr>
          <w:lang w:val="en-GB" w:eastAsia="ja-JP"/>
        </w:rPr>
        <w:t xml:space="preserve">Similarly, an IAB-MT may experience out of band blocking requirements and </w:t>
      </w:r>
      <w:r w:rsidR="00954DF0">
        <w:rPr>
          <w:lang w:val="en-GB" w:eastAsia="ja-JP"/>
        </w:rPr>
        <w:t xml:space="preserve">so both general and co-locaiton out of band blocking requirements should be defined for </w:t>
      </w:r>
      <w:r w:rsidR="00931296">
        <w:rPr>
          <w:lang w:val="en-GB" w:eastAsia="ja-JP"/>
        </w:rPr>
        <w:t>NCR-MT.</w:t>
      </w:r>
    </w:p>
    <w:p w14:paraId="35989C23" w14:textId="0E1E46F6" w:rsidR="00931296" w:rsidRDefault="00931296" w:rsidP="00931296">
      <w:pPr>
        <w:pStyle w:val="Proposal"/>
        <w:rPr>
          <w:lang w:val="en-GB"/>
        </w:rPr>
      </w:pPr>
      <w:bookmarkStart w:id="24" w:name="_Toc127430951"/>
      <w:r>
        <w:rPr>
          <w:lang w:val="en-GB"/>
        </w:rPr>
        <w:t>Define general and co-location OOB blocking requirements for NCR-MT, based on the IAB-MT requirements.</w:t>
      </w:r>
      <w:bookmarkEnd w:id="24"/>
    </w:p>
    <w:p w14:paraId="052DBB01" w14:textId="58E21B6A" w:rsidR="00931296" w:rsidRDefault="00797586" w:rsidP="0060225E">
      <w:pPr>
        <w:rPr>
          <w:u w:val="single"/>
          <w:lang w:val="en-GB" w:eastAsia="ja-JP"/>
        </w:rPr>
      </w:pPr>
      <w:r>
        <w:rPr>
          <w:u w:val="single"/>
          <w:lang w:val="en-GB" w:eastAsia="ja-JP"/>
        </w:rPr>
        <w:t>Receiver intermodulation requirement</w:t>
      </w:r>
    </w:p>
    <w:p w14:paraId="754292E9" w14:textId="3267DFB5" w:rsidR="00797586" w:rsidRDefault="00797586" w:rsidP="0060225E">
      <w:pPr>
        <w:rPr>
          <w:lang w:val="en-GB" w:eastAsia="ja-JP"/>
        </w:rPr>
      </w:pPr>
      <w:r>
        <w:rPr>
          <w:lang w:val="en-GB" w:eastAsia="ja-JP"/>
        </w:rPr>
        <w:t xml:space="preserve">The receiver intermodulation requirement regulates </w:t>
      </w:r>
      <w:r w:rsidR="009C045E">
        <w:rPr>
          <w:lang w:val="en-GB" w:eastAsia="ja-JP"/>
        </w:rPr>
        <w:t>the linearity of the receiver. Although the input intermodulation requirement defined for the NCR-FWD is not relevant for the NCR-MT, it is still relevant to test receiver intermodulation. This can be achieved by defining the receiver intermodulation requirement.</w:t>
      </w:r>
    </w:p>
    <w:p w14:paraId="6DCD35DE" w14:textId="79C6A108" w:rsidR="009C045E" w:rsidRDefault="009B7975" w:rsidP="009C045E">
      <w:pPr>
        <w:pStyle w:val="Proposal"/>
        <w:rPr>
          <w:lang w:val="en-GB"/>
        </w:rPr>
      </w:pPr>
      <w:bookmarkStart w:id="25" w:name="_Toc127430952"/>
      <w:r>
        <w:rPr>
          <w:lang w:val="en-GB"/>
        </w:rPr>
        <w:lastRenderedPageBreak/>
        <w:t>Define a receiver intermodulation requirement for NCR-MT, based on the IAB-MT intermodulation requirement.</w:t>
      </w:r>
      <w:bookmarkEnd w:id="25"/>
    </w:p>
    <w:p w14:paraId="53CB57C9" w14:textId="2B63296D" w:rsidR="009C045E" w:rsidRDefault="009C045E" w:rsidP="0060225E">
      <w:pPr>
        <w:rPr>
          <w:lang w:val="en-GB" w:eastAsia="ja-JP"/>
        </w:rPr>
      </w:pPr>
    </w:p>
    <w:p w14:paraId="06913E90" w14:textId="7163FEF1" w:rsidR="00AD51FC" w:rsidRDefault="00A02663" w:rsidP="0060225E">
      <w:pPr>
        <w:rPr>
          <w:u w:val="single"/>
          <w:lang w:val="en-GB" w:eastAsia="ja-JP"/>
        </w:rPr>
      </w:pPr>
      <w:r>
        <w:rPr>
          <w:u w:val="single"/>
          <w:lang w:val="en-GB" w:eastAsia="ja-JP"/>
        </w:rPr>
        <w:t>Spherical coverage and beam correspondence requirements</w:t>
      </w:r>
    </w:p>
    <w:p w14:paraId="24384A21" w14:textId="6395B90E" w:rsidR="001138FD" w:rsidRDefault="001138FD" w:rsidP="0060225E">
      <w:pPr>
        <w:rPr>
          <w:lang w:val="en-GB" w:eastAsia="ja-JP"/>
        </w:rPr>
      </w:pPr>
      <w:r>
        <w:rPr>
          <w:lang w:val="en-GB" w:eastAsia="ja-JP"/>
        </w:rPr>
        <w:t>In the UE specification, spherical coverage and beam correspondence requirements are defined</w:t>
      </w:r>
      <w:r w:rsidR="00B54098">
        <w:rPr>
          <w:lang w:val="en-GB" w:eastAsia="ja-JP"/>
        </w:rPr>
        <w:t>.</w:t>
      </w:r>
      <w:r w:rsidR="00443B90">
        <w:rPr>
          <w:lang w:val="en-GB" w:eastAsia="ja-JP"/>
        </w:rPr>
        <w:t xml:space="preserve"> These requirements are defined for a UE because a UE may be oriented in any direction and may be operating in a multi-path environment without line of sight.</w:t>
      </w:r>
    </w:p>
    <w:p w14:paraId="01E93EEF" w14:textId="63FD0FC2" w:rsidR="005C3C2E" w:rsidRDefault="005C3C2E" w:rsidP="0060225E">
      <w:pPr>
        <w:rPr>
          <w:lang w:val="en-GB" w:eastAsia="ja-JP"/>
        </w:rPr>
      </w:pPr>
      <w:r>
        <w:rPr>
          <w:lang w:val="en-GB" w:eastAsia="ja-JP"/>
        </w:rPr>
        <w:t>A repeater is in general likely to be deployed in a situation in which the link to the BS is clear and has good SNR, and will most likely have LoS. The position of the BS in relation to the repeater will not change with time.</w:t>
      </w:r>
      <w:r w:rsidR="008A0C4B">
        <w:rPr>
          <w:lang w:val="en-GB" w:eastAsia="ja-JP"/>
        </w:rPr>
        <w:t xml:space="preserve"> With this in mind, the BS like EIRP accuracy requirement (i.e., an ability to direct a beam in a declared direction accurately) and the OTA sensitivity requirement (to be able to </w:t>
      </w:r>
      <w:r w:rsidR="00E206B1">
        <w:rPr>
          <w:lang w:val="en-GB" w:eastAsia="ja-JP"/>
        </w:rPr>
        <w:t>achieve</w:t>
      </w:r>
      <w:r w:rsidR="008A0C4B">
        <w:rPr>
          <w:lang w:val="en-GB" w:eastAsia="ja-JP"/>
        </w:rPr>
        <w:t xml:space="preserve"> sensitivity within the sensitivity range) are more flexible and are sufficient for repeaters. Repeaters</w:t>
      </w:r>
      <w:r w:rsidR="00F457B4">
        <w:rPr>
          <w:lang w:val="en-GB" w:eastAsia="ja-JP"/>
        </w:rPr>
        <w:t xml:space="preserve"> can quite legitimately be designed not to provide spherical coverage and may even have a static directional antenna for the service link part.</w:t>
      </w:r>
    </w:p>
    <w:p w14:paraId="1F671D7F" w14:textId="74B4571E" w:rsidR="00F457B4" w:rsidRDefault="00F457B4" w:rsidP="0060225E">
      <w:pPr>
        <w:rPr>
          <w:lang w:val="en-GB" w:eastAsia="ja-JP"/>
        </w:rPr>
      </w:pPr>
      <w:r>
        <w:rPr>
          <w:lang w:val="en-GB" w:eastAsia="ja-JP"/>
        </w:rPr>
        <w:t>This logic is similar to IAB-MT, for which spherical coverage and beam correspondence requirements were not defined.</w:t>
      </w:r>
    </w:p>
    <w:p w14:paraId="488F31E5" w14:textId="4C849E0E" w:rsidR="00B409E0" w:rsidRPr="00F457B4" w:rsidRDefault="00F457B4" w:rsidP="00F457B4">
      <w:pPr>
        <w:pStyle w:val="Proposal"/>
        <w:rPr>
          <w:lang w:val="en-GB"/>
        </w:rPr>
      </w:pPr>
      <w:bookmarkStart w:id="26" w:name="_Toc127430953"/>
      <w:r>
        <w:rPr>
          <w:lang w:val="en-GB"/>
        </w:rPr>
        <w:t>Do not define beam correspondence requirements for IAB-MT.</w:t>
      </w:r>
      <w:bookmarkEnd w:id="26"/>
    </w:p>
    <w:p w14:paraId="3879E8F8" w14:textId="77777777" w:rsidR="00C473A5" w:rsidRDefault="00C473A5" w:rsidP="00CE0424">
      <w:pPr>
        <w:pStyle w:val="Heading1"/>
        <w:sectPr w:rsidR="00C473A5" w:rsidSect="00F457B4">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Heading1"/>
      </w:pPr>
      <w:r w:rsidRPr="00CE0424">
        <w:lastRenderedPageBreak/>
        <w:t>Conclusion</w:t>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BE1B7BF" w14:textId="35234351" w:rsidR="006F2025"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27430929" w:history="1">
        <w:r w:rsidR="006F2025" w:rsidRPr="00B05660">
          <w:rPr>
            <w:rStyle w:val="Hyperlink"/>
            <w:noProof/>
            <w:lang w:val="en-GB"/>
          </w:rPr>
          <w:t>Proposal 1</w:t>
        </w:r>
        <w:r w:rsidR="006F2025">
          <w:rPr>
            <w:rFonts w:asciiTheme="minorHAnsi" w:eastAsiaTheme="minorEastAsia" w:hAnsiTheme="minorHAnsi"/>
            <w:b w:val="0"/>
            <w:noProof/>
            <w:sz w:val="22"/>
            <w:lang w:val="en-SE" w:eastAsia="en-SE"/>
          </w:rPr>
          <w:tab/>
        </w:r>
        <w:r w:rsidR="006F2025" w:rsidRPr="00B05660">
          <w:rPr>
            <w:rStyle w:val="Hyperlink"/>
            <w:noProof/>
            <w:lang w:val="en-GB"/>
          </w:rPr>
          <w:t>For 1-O, define TRP output power and EIRP accuracy in a similar manner to 2-O</w:t>
        </w:r>
      </w:hyperlink>
    </w:p>
    <w:p w14:paraId="2D52F427" w14:textId="66C2C7AB" w:rsidR="006F2025" w:rsidRDefault="00000000">
      <w:pPr>
        <w:pStyle w:val="TableofFigures"/>
        <w:tabs>
          <w:tab w:val="right" w:leader="dot" w:pos="9629"/>
        </w:tabs>
        <w:rPr>
          <w:rFonts w:asciiTheme="minorHAnsi" w:eastAsiaTheme="minorEastAsia" w:hAnsiTheme="minorHAnsi"/>
          <w:b w:val="0"/>
          <w:noProof/>
          <w:sz w:val="22"/>
          <w:lang w:val="en-SE" w:eastAsia="en-SE"/>
        </w:rPr>
      </w:pPr>
      <w:hyperlink w:anchor="_Toc127430930" w:history="1">
        <w:r w:rsidR="006F2025" w:rsidRPr="00B05660">
          <w:rPr>
            <w:rStyle w:val="Hyperlink"/>
            <w:noProof/>
            <w:lang w:val="en-GB"/>
          </w:rPr>
          <w:t>Proposal 2</w:t>
        </w:r>
        <w:r w:rsidR="006F2025">
          <w:rPr>
            <w:rFonts w:asciiTheme="minorHAnsi" w:eastAsiaTheme="minorEastAsia" w:hAnsiTheme="minorHAnsi"/>
            <w:b w:val="0"/>
            <w:noProof/>
            <w:sz w:val="22"/>
            <w:lang w:val="en-SE" w:eastAsia="en-SE"/>
          </w:rPr>
          <w:tab/>
        </w:r>
        <w:r w:rsidR="006F2025" w:rsidRPr="00B05660">
          <w:rPr>
            <w:rStyle w:val="Hyperlink"/>
            <w:noProof/>
            <w:lang w:val="en-GB"/>
          </w:rPr>
          <w:t>For 1-H and 1-O, define the repeater EVM and frequency accuracy requirements in the same manner as for 1-C.</w:t>
        </w:r>
      </w:hyperlink>
    </w:p>
    <w:p w14:paraId="626D46DF" w14:textId="2356DEE7" w:rsidR="006F2025" w:rsidRDefault="00000000">
      <w:pPr>
        <w:pStyle w:val="TableofFigures"/>
        <w:tabs>
          <w:tab w:val="right" w:leader="dot" w:pos="9629"/>
        </w:tabs>
        <w:rPr>
          <w:rFonts w:asciiTheme="minorHAnsi" w:eastAsiaTheme="minorEastAsia" w:hAnsiTheme="minorHAnsi"/>
          <w:b w:val="0"/>
          <w:noProof/>
          <w:sz w:val="22"/>
          <w:lang w:val="en-SE" w:eastAsia="en-SE"/>
        </w:rPr>
      </w:pPr>
      <w:hyperlink w:anchor="_Toc127430931" w:history="1">
        <w:r w:rsidR="006F2025" w:rsidRPr="00B05660">
          <w:rPr>
            <w:rStyle w:val="Hyperlink"/>
            <w:noProof/>
            <w:lang w:val="en-GB"/>
          </w:rPr>
          <w:t>Proposal 3</w:t>
        </w:r>
        <w:r w:rsidR="006F2025">
          <w:rPr>
            <w:rFonts w:asciiTheme="minorHAnsi" w:eastAsiaTheme="minorEastAsia" w:hAnsiTheme="minorHAnsi"/>
            <w:b w:val="0"/>
            <w:noProof/>
            <w:sz w:val="22"/>
            <w:lang w:val="en-SE" w:eastAsia="en-SE"/>
          </w:rPr>
          <w:tab/>
        </w:r>
        <w:r w:rsidR="006F2025" w:rsidRPr="00B05660">
          <w:rPr>
            <w:rStyle w:val="Hyperlink"/>
            <w:noProof/>
            <w:lang w:val="en-GB"/>
          </w:rPr>
          <w:t>Define unwanted emissions requirements as TRP for 1-O repeaters</w:t>
        </w:r>
      </w:hyperlink>
    </w:p>
    <w:p w14:paraId="1544B686" w14:textId="07974AE6" w:rsidR="006F2025" w:rsidRDefault="00000000">
      <w:pPr>
        <w:pStyle w:val="TableofFigures"/>
        <w:tabs>
          <w:tab w:val="right" w:leader="dot" w:pos="9629"/>
        </w:tabs>
        <w:rPr>
          <w:rFonts w:asciiTheme="minorHAnsi" w:eastAsiaTheme="minorEastAsia" w:hAnsiTheme="minorHAnsi"/>
          <w:b w:val="0"/>
          <w:noProof/>
          <w:sz w:val="22"/>
          <w:lang w:val="en-SE" w:eastAsia="en-SE"/>
        </w:rPr>
      </w:pPr>
      <w:hyperlink w:anchor="_Toc127430932" w:history="1">
        <w:r w:rsidR="006F2025" w:rsidRPr="00B05660">
          <w:rPr>
            <w:rStyle w:val="Hyperlink"/>
            <w:noProof/>
            <w:lang w:val="en-GB"/>
          </w:rPr>
          <w:t>Proposal 4</w:t>
        </w:r>
        <w:r w:rsidR="006F2025">
          <w:rPr>
            <w:rFonts w:asciiTheme="minorHAnsi" w:eastAsiaTheme="minorEastAsia" w:hAnsiTheme="minorHAnsi"/>
            <w:b w:val="0"/>
            <w:noProof/>
            <w:sz w:val="22"/>
            <w:lang w:val="en-SE" w:eastAsia="en-SE"/>
          </w:rPr>
          <w:tab/>
        </w:r>
        <w:r w:rsidR="006F2025" w:rsidRPr="00B05660">
          <w:rPr>
            <w:rStyle w:val="Hyperlink"/>
            <w:noProof/>
            <w:lang w:val="en-GB"/>
          </w:rPr>
          <w:t>Apply the 9dB relaxation for 1-H and 1-O in the same manner as it is applied for the basestation.</w:t>
        </w:r>
      </w:hyperlink>
    </w:p>
    <w:p w14:paraId="081B0089" w14:textId="573D51C0" w:rsidR="006F2025" w:rsidRDefault="00000000">
      <w:pPr>
        <w:pStyle w:val="TableofFigures"/>
        <w:tabs>
          <w:tab w:val="right" w:leader="dot" w:pos="9629"/>
        </w:tabs>
        <w:rPr>
          <w:rFonts w:asciiTheme="minorHAnsi" w:eastAsiaTheme="minorEastAsia" w:hAnsiTheme="minorHAnsi"/>
          <w:b w:val="0"/>
          <w:noProof/>
          <w:sz w:val="22"/>
          <w:lang w:val="en-SE" w:eastAsia="en-SE"/>
        </w:rPr>
      </w:pPr>
      <w:hyperlink w:anchor="_Toc127430933" w:history="1">
        <w:r w:rsidR="006F2025" w:rsidRPr="00B05660">
          <w:rPr>
            <w:rStyle w:val="Hyperlink"/>
            <w:noProof/>
            <w:lang w:val="en-GB"/>
          </w:rPr>
          <w:t>Proposal 5</w:t>
        </w:r>
        <w:r w:rsidR="006F2025">
          <w:rPr>
            <w:rFonts w:asciiTheme="minorHAnsi" w:eastAsiaTheme="minorEastAsia" w:hAnsiTheme="minorHAnsi"/>
            <w:b w:val="0"/>
            <w:noProof/>
            <w:sz w:val="22"/>
            <w:lang w:val="en-SE" w:eastAsia="en-SE"/>
          </w:rPr>
          <w:tab/>
        </w:r>
        <w:r w:rsidR="006F2025" w:rsidRPr="00B05660">
          <w:rPr>
            <w:rStyle w:val="Hyperlink"/>
            <w:noProof/>
            <w:lang w:val="en-GB"/>
          </w:rPr>
          <w:t>For 1-O, define the gain for OOB gain and ACRR as the ratio of TRP output power to directional input power in the same manner as for 2-O.</w:t>
        </w:r>
      </w:hyperlink>
    </w:p>
    <w:p w14:paraId="0EF030AF" w14:textId="5E17DD20" w:rsidR="006F2025" w:rsidRDefault="00000000">
      <w:pPr>
        <w:pStyle w:val="TableofFigures"/>
        <w:tabs>
          <w:tab w:val="right" w:leader="dot" w:pos="9629"/>
        </w:tabs>
        <w:rPr>
          <w:rFonts w:asciiTheme="minorHAnsi" w:eastAsiaTheme="minorEastAsia" w:hAnsiTheme="minorHAnsi"/>
          <w:b w:val="0"/>
          <w:noProof/>
          <w:sz w:val="22"/>
          <w:lang w:val="en-SE" w:eastAsia="en-SE"/>
        </w:rPr>
      </w:pPr>
      <w:hyperlink w:anchor="_Toc127430934" w:history="1">
        <w:r w:rsidR="006F2025" w:rsidRPr="00B05660">
          <w:rPr>
            <w:rStyle w:val="Hyperlink"/>
            <w:noProof/>
            <w:lang w:val="en-GB"/>
          </w:rPr>
          <w:t>Proposal 6</w:t>
        </w:r>
        <w:r w:rsidR="006F2025">
          <w:rPr>
            <w:rFonts w:asciiTheme="minorHAnsi" w:eastAsiaTheme="minorEastAsia" w:hAnsiTheme="minorHAnsi"/>
            <w:b w:val="0"/>
            <w:noProof/>
            <w:sz w:val="22"/>
            <w:lang w:val="en-SE" w:eastAsia="en-SE"/>
          </w:rPr>
          <w:tab/>
        </w:r>
        <w:r w:rsidR="006F2025" w:rsidRPr="00B05660">
          <w:rPr>
            <w:rStyle w:val="Hyperlink"/>
            <w:noProof/>
            <w:lang w:val="en-GB"/>
          </w:rPr>
          <w:t xml:space="preserve">For input intermodulation, apply a factor similar to </w:t>
        </w:r>
        <w:r w:rsidR="006F2025" w:rsidRPr="00B05660">
          <w:rPr>
            <w:rStyle w:val="Hyperlink"/>
            <w:noProof/>
          </w:rPr>
          <w:t>Δ</w:t>
        </w:r>
        <w:r w:rsidR="006F2025" w:rsidRPr="00B05660">
          <w:rPr>
            <w:rStyle w:val="Hyperlink"/>
            <w:noProof/>
            <w:vertAlign w:val="subscript"/>
          </w:rPr>
          <w:t>OTAREF</w:t>
        </w:r>
        <w:r w:rsidR="006F2025" w:rsidRPr="00B05660">
          <w:rPr>
            <w:rStyle w:val="Hyperlink"/>
            <w:noProof/>
            <w:lang w:val="en-GB"/>
          </w:rPr>
          <w:t xml:space="preserve"> (name TBD) to the repeater input signal power level.</w:t>
        </w:r>
      </w:hyperlink>
    </w:p>
    <w:p w14:paraId="2F8863CB" w14:textId="70A62001" w:rsidR="006F2025" w:rsidRDefault="00000000">
      <w:pPr>
        <w:pStyle w:val="TableofFigures"/>
        <w:tabs>
          <w:tab w:val="right" w:leader="dot" w:pos="9629"/>
        </w:tabs>
        <w:rPr>
          <w:rFonts w:asciiTheme="minorHAnsi" w:eastAsiaTheme="minorEastAsia" w:hAnsiTheme="minorHAnsi"/>
          <w:b w:val="0"/>
          <w:noProof/>
          <w:sz w:val="22"/>
          <w:lang w:val="en-SE" w:eastAsia="en-SE"/>
        </w:rPr>
      </w:pPr>
      <w:hyperlink w:anchor="_Toc127430935" w:history="1">
        <w:r w:rsidR="006F2025" w:rsidRPr="00B05660">
          <w:rPr>
            <w:rStyle w:val="Hyperlink"/>
            <w:noProof/>
            <w:lang w:val="en-GB"/>
          </w:rPr>
          <w:t>Proposal 7</w:t>
        </w:r>
        <w:r w:rsidR="006F2025">
          <w:rPr>
            <w:rFonts w:asciiTheme="minorHAnsi" w:eastAsiaTheme="minorEastAsia" w:hAnsiTheme="minorHAnsi"/>
            <w:b w:val="0"/>
            <w:noProof/>
            <w:sz w:val="22"/>
            <w:lang w:val="en-SE" w:eastAsia="en-SE"/>
          </w:rPr>
          <w:tab/>
        </w:r>
        <w:r w:rsidR="006F2025" w:rsidRPr="00B05660">
          <w:rPr>
            <w:rStyle w:val="Hyperlink"/>
            <w:noProof/>
          </w:rPr>
          <w:t>Δ</w:t>
        </w:r>
        <w:r w:rsidR="006F2025" w:rsidRPr="00B05660">
          <w:rPr>
            <w:rStyle w:val="Hyperlink"/>
            <w:noProof/>
            <w:vertAlign w:val="subscript"/>
          </w:rPr>
          <w:t>OTAREF</w:t>
        </w:r>
        <w:r w:rsidR="006F2025" w:rsidRPr="00B05660">
          <w:rPr>
            <w:rStyle w:val="Hyperlink"/>
            <w:noProof/>
            <w:lang w:val="en-GB"/>
          </w:rPr>
          <w:t xml:space="preserve"> can be defined based on the spatial contour of the input signal for which the output power of the repeater is 3dB lower than the rated output power, assuming that the input signal level is </w:t>
        </w:r>
        <w:r w:rsidR="006F2025" w:rsidRPr="00B05660">
          <w:rPr>
            <w:rStyle w:val="Hyperlink"/>
            <w:noProof/>
          </w:rPr>
          <w:t>P</w:t>
        </w:r>
        <w:r w:rsidR="006F2025" w:rsidRPr="00B05660">
          <w:rPr>
            <w:rStyle w:val="Hyperlink"/>
            <w:noProof/>
            <w:vertAlign w:val="subscript"/>
          </w:rPr>
          <w:t>in,p,EIRP.</w:t>
        </w:r>
      </w:hyperlink>
    </w:p>
    <w:p w14:paraId="1E6941C2" w14:textId="581E5722" w:rsidR="006F2025" w:rsidRDefault="00000000">
      <w:pPr>
        <w:pStyle w:val="TableofFigures"/>
        <w:tabs>
          <w:tab w:val="right" w:leader="dot" w:pos="9629"/>
        </w:tabs>
        <w:rPr>
          <w:rFonts w:asciiTheme="minorHAnsi" w:eastAsiaTheme="minorEastAsia" w:hAnsiTheme="minorHAnsi"/>
          <w:b w:val="0"/>
          <w:noProof/>
          <w:sz w:val="22"/>
          <w:lang w:val="en-SE" w:eastAsia="en-SE"/>
        </w:rPr>
      </w:pPr>
      <w:hyperlink w:anchor="_Toc127430936" w:history="1">
        <w:r w:rsidR="006F2025" w:rsidRPr="00B05660">
          <w:rPr>
            <w:rStyle w:val="Hyperlink"/>
            <w:noProof/>
            <w:lang w:val="en-GB"/>
          </w:rPr>
          <w:t>Proposal 8</w:t>
        </w:r>
        <w:r w:rsidR="006F2025">
          <w:rPr>
            <w:rFonts w:asciiTheme="minorHAnsi" w:eastAsiaTheme="minorEastAsia" w:hAnsiTheme="minorHAnsi"/>
            <w:b w:val="0"/>
            <w:noProof/>
            <w:sz w:val="22"/>
            <w:lang w:val="en-SE" w:eastAsia="en-SE"/>
          </w:rPr>
          <w:tab/>
        </w:r>
        <w:r w:rsidR="006F2025" w:rsidRPr="00B05660">
          <w:rPr>
            <w:rStyle w:val="Hyperlink"/>
            <w:noProof/>
            <w:lang w:val="en-GB"/>
          </w:rPr>
          <w:t>RAN4 should discuss further how to define and apply co-location requirements (for emissions and output intermodulation) considering the complexities of needing both a reference co-location antenna and of supplying a stimulus signal to the repeater.</w:t>
        </w:r>
      </w:hyperlink>
    </w:p>
    <w:p w14:paraId="470C6F3E" w14:textId="19AC4150" w:rsidR="006F2025" w:rsidRDefault="00000000">
      <w:pPr>
        <w:pStyle w:val="TableofFigures"/>
        <w:tabs>
          <w:tab w:val="right" w:leader="dot" w:pos="9629"/>
        </w:tabs>
        <w:rPr>
          <w:rFonts w:asciiTheme="minorHAnsi" w:eastAsiaTheme="minorEastAsia" w:hAnsiTheme="minorHAnsi"/>
          <w:b w:val="0"/>
          <w:noProof/>
          <w:sz w:val="22"/>
          <w:lang w:val="en-SE" w:eastAsia="en-SE"/>
        </w:rPr>
      </w:pPr>
      <w:hyperlink w:anchor="_Toc127430937" w:history="1">
        <w:r w:rsidR="006F2025" w:rsidRPr="00B05660">
          <w:rPr>
            <w:rStyle w:val="Hyperlink"/>
            <w:noProof/>
            <w:lang w:val="en-GB"/>
          </w:rPr>
          <w:t>Proposal 9</w:t>
        </w:r>
        <w:r w:rsidR="006F2025">
          <w:rPr>
            <w:rFonts w:asciiTheme="minorHAnsi" w:eastAsiaTheme="minorEastAsia" w:hAnsiTheme="minorHAnsi"/>
            <w:b w:val="0"/>
            <w:noProof/>
            <w:sz w:val="22"/>
            <w:lang w:val="en-SE" w:eastAsia="en-SE"/>
          </w:rPr>
          <w:tab/>
        </w:r>
        <w:r w:rsidR="006F2025" w:rsidRPr="00B05660">
          <w:rPr>
            <w:rStyle w:val="Hyperlink"/>
            <w:noProof/>
            <w:lang w:val="en-GB"/>
          </w:rPr>
          <w:t>Most likely, it is straightforward to apply the transmitter OFF requirement as a co-location requirement for repeater type 1-O.</w:t>
        </w:r>
      </w:hyperlink>
    </w:p>
    <w:p w14:paraId="4314671A" w14:textId="70951761" w:rsidR="006F2025" w:rsidRDefault="00000000">
      <w:pPr>
        <w:pStyle w:val="TableofFigures"/>
        <w:tabs>
          <w:tab w:val="right" w:leader="dot" w:pos="9629"/>
        </w:tabs>
        <w:rPr>
          <w:rFonts w:asciiTheme="minorHAnsi" w:eastAsiaTheme="minorEastAsia" w:hAnsiTheme="minorHAnsi"/>
          <w:b w:val="0"/>
          <w:noProof/>
          <w:sz w:val="22"/>
          <w:lang w:val="en-SE" w:eastAsia="en-SE"/>
        </w:rPr>
      </w:pPr>
      <w:hyperlink w:anchor="_Toc127430938" w:history="1">
        <w:r w:rsidR="006F2025" w:rsidRPr="00B05660">
          <w:rPr>
            <w:rStyle w:val="Hyperlink"/>
            <w:noProof/>
          </w:rPr>
          <w:t>Proposal 10</w:t>
        </w:r>
        <w:r w:rsidR="006F2025">
          <w:rPr>
            <w:rFonts w:asciiTheme="minorHAnsi" w:eastAsiaTheme="minorEastAsia" w:hAnsiTheme="minorHAnsi"/>
            <w:b w:val="0"/>
            <w:noProof/>
            <w:sz w:val="22"/>
            <w:lang w:val="en-SE" w:eastAsia="en-SE"/>
          </w:rPr>
          <w:tab/>
        </w:r>
        <w:r w:rsidR="006F2025" w:rsidRPr="00B05660">
          <w:rPr>
            <w:rStyle w:val="Hyperlink"/>
            <w:noProof/>
          </w:rPr>
          <w:t>For NCR-MT, set requirements on TRP and EIRP accuracy using the BS approach (i.e., same as for IAB-MT)</w:t>
        </w:r>
      </w:hyperlink>
    </w:p>
    <w:p w14:paraId="00C43886" w14:textId="29620FEA" w:rsidR="006F2025" w:rsidRDefault="00000000">
      <w:pPr>
        <w:pStyle w:val="TableofFigures"/>
        <w:tabs>
          <w:tab w:val="right" w:leader="dot" w:pos="9629"/>
        </w:tabs>
        <w:rPr>
          <w:rFonts w:asciiTheme="minorHAnsi" w:eastAsiaTheme="minorEastAsia" w:hAnsiTheme="minorHAnsi"/>
          <w:b w:val="0"/>
          <w:noProof/>
          <w:sz w:val="22"/>
          <w:lang w:val="en-SE" w:eastAsia="en-SE"/>
        </w:rPr>
      </w:pPr>
      <w:hyperlink w:anchor="_Toc127430939" w:history="1">
        <w:r w:rsidR="006F2025" w:rsidRPr="00B05660">
          <w:rPr>
            <w:rStyle w:val="Hyperlink"/>
            <w:noProof/>
          </w:rPr>
          <w:t>Proposal 11</w:t>
        </w:r>
        <w:r w:rsidR="006F2025">
          <w:rPr>
            <w:rFonts w:asciiTheme="minorHAnsi" w:eastAsiaTheme="minorEastAsia" w:hAnsiTheme="minorHAnsi"/>
            <w:b w:val="0"/>
            <w:noProof/>
            <w:sz w:val="22"/>
            <w:lang w:val="en-SE" w:eastAsia="en-SE"/>
          </w:rPr>
          <w:tab/>
        </w:r>
        <w:r w:rsidR="006F2025" w:rsidRPr="00B05660">
          <w:rPr>
            <w:rStyle w:val="Hyperlink"/>
            <w:noProof/>
          </w:rPr>
          <w:t>RAN4 to discuss and agree whether to define TRP as the sum power from NCR-MT and NCR-FWD or to define TRP separately for each.</w:t>
        </w:r>
      </w:hyperlink>
    </w:p>
    <w:p w14:paraId="02B92BA0" w14:textId="297F60BE" w:rsidR="006F2025" w:rsidRDefault="00000000">
      <w:pPr>
        <w:pStyle w:val="TableofFigures"/>
        <w:tabs>
          <w:tab w:val="right" w:leader="dot" w:pos="9629"/>
        </w:tabs>
        <w:rPr>
          <w:rFonts w:asciiTheme="minorHAnsi" w:eastAsiaTheme="minorEastAsia" w:hAnsiTheme="minorHAnsi"/>
          <w:b w:val="0"/>
          <w:noProof/>
          <w:sz w:val="22"/>
          <w:lang w:val="en-SE" w:eastAsia="en-SE"/>
        </w:rPr>
      </w:pPr>
      <w:hyperlink w:anchor="_Toc127430940" w:history="1">
        <w:r w:rsidR="006F2025" w:rsidRPr="00B05660">
          <w:rPr>
            <w:rStyle w:val="Hyperlink"/>
            <w:noProof/>
          </w:rPr>
          <w:t>Proposal 12</w:t>
        </w:r>
        <w:r w:rsidR="006F2025">
          <w:rPr>
            <w:rFonts w:asciiTheme="minorHAnsi" w:eastAsiaTheme="minorEastAsia" w:hAnsiTheme="minorHAnsi"/>
            <w:b w:val="0"/>
            <w:noProof/>
            <w:sz w:val="22"/>
            <w:lang w:val="en-SE" w:eastAsia="en-SE"/>
          </w:rPr>
          <w:tab/>
        </w:r>
        <w:r w:rsidR="006F2025" w:rsidRPr="00B05660">
          <w:rPr>
            <w:rStyle w:val="Hyperlink"/>
            <w:noProof/>
          </w:rPr>
          <w:t>RAN4 to discuss and agree whether to define EIRP as the sum EIRP from NCR-MT and NCR-FWD based on a common set of declarations or to define EIRP accuracy separately for each.</w:t>
        </w:r>
      </w:hyperlink>
    </w:p>
    <w:p w14:paraId="14CB3C6C" w14:textId="57EC14BA" w:rsidR="006F2025" w:rsidRDefault="00000000">
      <w:pPr>
        <w:pStyle w:val="TableofFigures"/>
        <w:tabs>
          <w:tab w:val="right" w:leader="dot" w:pos="9629"/>
        </w:tabs>
        <w:rPr>
          <w:rFonts w:asciiTheme="minorHAnsi" w:eastAsiaTheme="minorEastAsia" w:hAnsiTheme="minorHAnsi"/>
          <w:b w:val="0"/>
          <w:noProof/>
          <w:sz w:val="22"/>
          <w:lang w:val="en-SE" w:eastAsia="en-SE"/>
        </w:rPr>
      </w:pPr>
      <w:hyperlink w:anchor="_Toc127430941" w:history="1">
        <w:r w:rsidR="006F2025" w:rsidRPr="00B05660">
          <w:rPr>
            <w:rStyle w:val="Hyperlink"/>
            <w:noProof/>
          </w:rPr>
          <w:t>Proposal 13</w:t>
        </w:r>
        <w:r w:rsidR="006F2025">
          <w:rPr>
            <w:rFonts w:asciiTheme="minorHAnsi" w:eastAsiaTheme="minorEastAsia" w:hAnsiTheme="minorHAnsi"/>
            <w:b w:val="0"/>
            <w:noProof/>
            <w:sz w:val="22"/>
            <w:lang w:val="en-SE" w:eastAsia="en-SE"/>
          </w:rPr>
          <w:tab/>
        </w:r>
        <w:r w:rsidR="006F2025" w:rsidRPr="00B05660">
          <w:rPr>
            <w:rStyle w:val="Hyperlink"/>
            <w:noProof/>
          </w:rPr>
          <w:t>The repeater EVM and frequency accuracy requirements in the repeater specification are applicable for NCR-FWD only.</w:t>
        </w:r>
      </w:hyperlink>
    </w:p>
    <w:p w14:paraId="53D9A90D" w14:textId="44C807F2" w:rsidR="006F2025" w:rsidRDefault="00000000">
      <w:pPr>
        <w:pStyle w:val="TableofFigures"/>
        <w:tabs>
          <w:tab w:val="right" w:leader="dot" w:pos="9629"/>
        </w:tabs>
        <w:rPr>
          <w:rFonts w:asciiTheme="minorHAnsi" w:eastAsiaTheme="minorEastAsia" w:hAnsiTheme="minorHAnsi"/>
          <w:b w:val="0"/>
          <w:noProof/>
          <w:sz w:val="22"/>
          <w:lang w:val="en-SE" w:eastAsia="en-SE"/>
        </w:rPr>
      </w:pPr>
      <w:hyperlink w:anchor="_Toc127430942" w:history="1">
        <w:r w:rsidR="006F2025" w:rsidRPr="00B05660">
          <w:rPr>
            <w:rStyle w:val="Hyperlink"/>
            <w:noProof/>
          </w:rPr>
          <w:t>Proposal 14</w:t>
        </w:r>
        <w:r w:rsidR="006F2025">
          <w:rPr>
            <w:rFonts w:asciiTheme="minorHAnsi" w:eastAsiaTheme="minorEastAsia" w:hAnsiTheme="minorHAnsi"/>
            <w:b w:val="0"/>
            <w:noProof/>
            <w:sz w:val="22"/>
            <w:lang w:val="en-SE" w:eastAsia="en-SE"/>
          </w:rPr>
          <w:tab/>
        </w:r>
        <w:r w:rsidR="006F2025" w:rsidRPr="00B05660">
          <w:rPr>
            <w:rStyle w:val="Hyperlink"/>
            <w:noProof/>
          </w:rPr>
          <w:t>For the NCR-MT, set requirements on frequency accuracy and EVM using the IAB-MT specification as a reference.</w:t>
        </w:r>
      </w:hyperlink>
    </w:p>
    <w:p w14:paraId="6037308C" w14:textId="2B6E3DF8" w:rsidR="006F2025" w:rsidRDefault="00000000">
      <w:pPr>
        <w:pStyle w:val="TableofFigures"/>
        <w:tabs>
          <w:tab w:val="right" w:leader="dot" w:pos="9629"/>
        </w:tabs>
        <w:rPr>
          <w:rFonts w:asciiTheme="minorHAnsi" w:eastAsiaTheme="minorEastAsia" w:hAnsiTheme="minorHAnsi"/>
          <w:b w:val="0"/>
          <w:noProof/>
          <w:sz w:val="22"/>
          <w:lang w:val="en-SE" w:eastAsia="en-SE"/>
        </w:rPr>
      </w:pPr>
      <w:hyperlink w:anchor="_Toc127430943" w:history="1">
        <w:r w:rsidR="006F2025" w:rsidRPr="00B05660">
          <w:rPr>
            <w:rStyle w:val="Hyperlink"/>
            <w:noProof/>
          </w:rPr>
          <w:t>Proposal 15</w:t>
        </w:r>
        <w:r w:rsidR="006F2025">
          <w:rPr>
            <w:rFonts w:asciiTheme="minorHAnsi" w:eastAsiaTheme="minorEastAsia" w:hAnsiTheme="minorHAnsi"/>
            <w:b w:val="0"/>
            <w:noProof/>
            <w:sz w:val="22"/>
            <w:lang w:val="en-SE" w:eastAsia="en-SE"/>
          </w:rPr>
          <w:tab/>
        </w:r>
        <w:r w:rsidR="006F2025" w:rsidRPr="00B05660">
          <w:rPr>
            <w:rStyle w:val="Hyperlink"/>
            <w:noProof/>
          </w:rPr>
          <w:t>Requirements on OOB gain and ACRR should be applied for NCR-FWD only</w:t>
        </w:r>
      </w:hyperlink>
    </w:p>
    <w:p w14:paraId="404E64B1" w14:textId="68D4B973" w:rsidR="006F2025" w:rsidRDefault="00000000">
      <w:pPr>
        <w:pStyle w:val="TableofFigures"/>
        <w:tabs>
          <w:tab w:val="right" w:leader="dot" w:pos="9629"/>
        </w:tabs>
        <w:rPr>
          <w:rFonts w:asciiTheme="minorHAnsi" w:eastAsiaTheme="minorEastAsia" w:hAnsiTheme="minorHAnsi"/>
          <w:b w:val="0"/>
          <w:noProof/>
          <w:sz w:val="22"/>
          <w:lang w:val="en-SE" w:eastAsia="en-SE"/>
        </w:rPr>
      </w:pPr>
      <w:hyperlink w:anchor="_Toc127430944" w:history="1">
        <w:r w:rsidR="006F2025" w:rsidRPr="00B05660">
          <w:rPr>
            <w:rStyle w:val="Hyperlink"/>
            <w:noProof/>
          </w:rPr>
          <w:t>Proposal 16</w:t>
        </w:r>
        <w:r w:rsidR="006F2025">
          <w:rPr>
            <w:rFonts w:asciiTheme="minorHAnsi" w:eastAsiaTheme="minorEastAsia" w:hAnsiTheme="minorHAnsi"/>
            <w:b w:val="0"/>
            <w:noProof/>
            <w:sz w:val="22"/>
            <w:lang w:val="en-SE" w:eastAsia="en-SE"/>
          </w:rPr>
          <w:tab/>
        </w:r>
        <w:r w:rsidR="006F2025" w:rsidRPr="00B05660">
          <w:rPr>
            <w:rStyle w:val="Hyperlink"/>
            <w:noProof/>
          </w:rPr>
          <w:t>Define unwanted emissions limits as limits on the sum of the emissions from NCR-FWD and NCR-MT when both are transmitting.</w:t>
        </w:r>
      </w:hyperlink>
    </w:p>
    <w:p w14:paraId="1A79C17B" w14:textId="53620C2D" w:rsidR="006F2025" w:rsidRDefault="00000000">
      <w:pPr>
        <w:pStyle w:val="TableofFigures"/>
        <w:tabs>
          <w:tab w:val="right" w:leader="dot" w:pos="9629"/>
        </w:tabs>
        <w:rPr>
          <w:rFonts w:asciiTheme="minorHAnsi" w:eastAsiaTheme="minorEastAsia" w:hAnsiTheme="minorHAnsi"/>
          <w:b w:val="0"/>
          <w:noProof/>
          <w:sz w:val="22"/>
          <w:lang w:val="en-SE" w:eastAsia="en-SE"/>
        </w:rPr>
      </w:pPr>
      <w:hyperlink w:anchor="_Toc127430945" w:history="1">
        <w:r w:rsidR="006F2025" w:rsidRPr="00B05660">
          <w:rPr>
            <w:rStyle w:val="Hyperlink"/>
            <w:noProof/>
          </w:rPr>
          <w:t>Proposal 17</w:t>
        </w:r>
        <w:r w:rsidR="006F2025">
          <w:rPr>
            <w:rFonts w:asciiTheme="minorHAnsi" w:eastAsiaTheme="minorEastAsia" w:hAnsiTheme="minorHAnsi"/>
            <w:b w:val="0"/>
            <w:noProof/>
            <w:sz w:val="22"/>
            <w:lang w:val="en-SE" w:eastAsia="en-SE"/>
          </w:rPr>
          <w:tab/>
        </w:r>
        <w:r w:rsidR="006F2025" w:rsidRPr="00B05660">
          <w:rPr>
            <w:rStyle w:val="Hyperlink"/>
            <w:noProof/>
          </w:rPr>
          <w:t>Input intermodulation requirements should be applied for NCR-FWD only.</w:t>
        </w:r>
      </w:hyperlink>
    </w:p>
    <w:p w14:paraId="4C0043BB" w14:textId="28E7439F" w:rsidR="006F2025" w:rsidRDefault="00000000">
      <w:pPr>
        <w:pStyle w:val="TableofFigures"/>
        <w:tabs>
          <w:tab w:val="right" w:leader="dot" w:pos="9629"/>
        </w:tabs>
        <w:rPr>
          <w:rFonts w:asciiTheme="minorHAnsi" w:eastAsiaTheme="minorEastAsia" w:hAnsiTheme="minorHAnsi"/>
          <w:b w:val="0"/>
          <w:noProof/>
          <w:sz w:val="22"/>
          <w:lang w:val="en-SE" w:eastAsia="en-SE"/>
        </w:rPr>
      </w:pPr>
      <w:hyperlink w:anchor="_Toc127430946" w:history="1">
        <w:r w:rsidR="006F2025" w:rsidRPr="00B05660">
          <w:rPr>
            <w:rStyle w:val="Hyperlink"/>
            <w:noProof/>
          </w:rPr>
          <w:t>Proposal 18</w:t>
        </w:r>
        <w:r w:rsidR="006F2025">
          <w:rPr>
            <w:rFonts w:asciiTheme="minorHAnsi" w:eastAsiaTheme="minorEastAsia" w:hAnsiTheme="minorHAnsi"/>
            <w:b w:val="0"/>
            <w:noProof/>
            <w:sz w:val="22"/>
            <w:lang w:val="en-SE" w:eastAsia="en-SE"/>
          </w:rPr>
          <w:tab/>
        </w:r>
        <w:r w:rsidR="006F2025" w:rsidRPr="00B05660">
          <w:rPr>
            <w:rStyle w:val="Hyperlink"/>
            <w:noProof/>
          </w:rPr>
          <w:t>Apply the TDD OFF power requirement to the sum of the NCR-FWD and NCR-MT outputs.</w:t>
        </w:r>
      </w:hyperlink>
    </w:p>
    <w:p w14:paraId="413331AE" w14:textId="3AF3D5E2" w:rsidR="006F2025" w:rsidRDefault="00000000">
      <w:pPr>
        <w:pStyle w:val="TableofFigures"/>
        <w:tabs>
          <w:tab w:val="right" w:leader="dot" w:pos="9629"/>
        </w:tabs>
        <w:rPr>
          <w:rFonts w:asciiTheme="minorHAnsi" w:eastAsiaTheme="minorEastAsia" w:hAnsiTheme="minorHAnsi"/>
          <w:b w:val="0"/>
          <w:noProof/>
          <w:sz w:val="22"/>
          <w:lang w:val="en-SE" w:eastAsia="en-SE"/>
        </w:rPr>
      </w:pPr>
      <w:hyperlink w:anchor="_Toc127430947" w:history="1">
        <w:r w:rsidR="006F2025" w:rsidRPr="00B05660">
          <w:rPr>
            <w:rStyle w:val="Hyperlink"/>
            <w:noProof/>
            <w:lang w:val="en-GB"/>
          </w:rPr>
          <w:t>Proposal 19</w:t>
        </w:r>
        <w:r w:rsidR="006F2025">
          <w:rPr>
            <w:rFonts w:asciiTheme="minorHAnsi" w:eastAsiaTheme="minorEastAsia" w:hAnsiTheme="minorHAnsi"/>
            <w:b w:val="0"/>
            <w:noProof/>
            <w:sz w:val="22"/>
            <w:lang w:val="en-SE" w:eastAsia="en-SE"/>
          </w:rPr>
          <w:tab/>
        </w:r>
        <w:r w:rsidR="006F2025" w:rsidRPr="00B05660">
          <w:rPr>
            <w:rStyle w:val="Hyperlink"/>
            <w:noProof/>
            <w:lang w:val="en-GB"/>
          </w:rPr>
          <w:t>RAN4 to double check that the propagation conditions and expected power control dynamic range for the NCR-MT classes is expected to be the same as for the IAB-MT classes.</w:t>
        </w:r>
      </w:hyperlink>
    </w:p>
    <w:p w14:paraId="6405A465" w14:textId="234BA41F" w:rsidR="006F2025" w:rsidRDefault="00000000">
      <w:pPr>
        <w:pStyle w:val="TableofFigures"/>
        <w:tabs>
          <w:tab w:val="right" w:leader="dot" w:pos="9629"/>
        </w:tabs>
        <w:rPr>
          <w:rFonts w:asciiTheme="minorHAnsi" w:eastAsiaTheme="minorEastAsia" w:hAnsiTheme="minorHAnsi"/>
          <w:b w:val="0"/>
          <w:noProof/>
          <w:sz w:val="22"/>
          <w:lang w:val="en-SE" w:eastAsia="en-SE"/>
        </w:rPr>
      </w:pPr>
      <w:hyperlink w:anchor="_Toc127430948" w:history="1">
        <w:r w:rsidR="006F2025" w:rsidRPr="00B05660">
          <w:rPr>
            <w:rStyle w:val="Hyperlink"/>
            <w:noProof/>
            <w:lang w:val="en-GB"/>
          </w:rPr>
          <w:t>Proposal 20</w:t>
        </w:r>
        <w:r w:rsidR="006F2025">
          <w:rPr>
            <w:rFonts w:asciiTheme="minorHAnsi" w:eastAsiaTheme="minorEastAsia" w:hAnsiTheme="minorHAnsi"/>
            <w:b w:val="0"/>
            <w:noProof/>
            <w:sz w:val="22"/>
            <w:lang w:val="en-SE" w:eastAsia="en-SE"/>
          </w:rPr>
          <w:tab/>
        </w:r>
        <w:r w:rsidR="006F2025" w:rsidRPr="00B05660">
          <w:rPr>
            <w:rStyle w:val="Hyperlink"/>
            <w:noProof/>
            <w:lang w:val="en-GB"/>
          </w:rPr>
          <w:t>For NCR-MT, apply the same power control tolerance requirement as for IAB-MT.</w:t>
        </w:r>
      </w:hyperlink>
    </w:p>
    <w:p w14:paraId="47809BC5" w14:textId="7059852C" w:rsidR="006F2025" w:rsidRDefault="00000000">
      <w:pPr>
        <w:pStyle w:val="TableofFigures"/>
        <w:tabs>
          <w:tab w:val="right" w:leader="dot" w:pos="9629"/>
        </w:tabs>
        <w:rPr>
          <w:rFonts w:asciiTheme="minorHAnsi" w:eastAsiaTheme="minorEastAsia" w:hAnsiTheme="minorHAnsi"/>
          <w:b w:val="0"/>
          <w:noProof/>
          <w:sz w:val="22"/>
          <w:lang w:val="en-SE" w:eastAsia="en-SE"/>
        </w:rPr>
      </w:pPr>
      <w:hyperlink w:anchor="_Toc127430949" w:history="1">
        <w:r w:rsidR="006F2025" w:rsidRPr="00B05660">
          <w:rPr>
            <w:rStyle w:val="Hyperlink"/>
            <w:noProof/>
            <w:lang w:val="en-GB"/>
          </w:rPr>
          <w:t>Proposal 21</w:t>
        </w:r>
        <w:r w:rsidR="006F2025">
          <w:rPr>
            <w:rFonts w:asciiTheme="minorHAnsi" w:eastAsiaTheme="minorEastAsia" w:hAnsiTheme="minorHAnsi"/>
            <w:b w:val="0"/>
            <w:noProof/>
            <w:sz w:val="22"/>
            <w:lang w:val="en-SE" w:eastAsia="en-SE"/>
          </w:rPr>
          <w:tab/>
        </w:r>
        <w:r w:rsidR="006F2025" w:rsidRPr="00B05660">
          <w:rPr>
            <w:rStyle w:val="Hyperlink"/>
            <w:noProof/>
            <w:lang w:val="en-GB"/>
          </w:rPr>
          <w:t>Define the NCR-MT reference sensitivity requirement based on IAB-MT</w:t>
        </w:r>
      </w:hyperlink>
    </w:p>
    <w:p w14:paraId="2BE4AFAE" w14:textId="5EF54DF2" w:rsidR="006F2025" w:rsidRDefault="00000000">
      <w:pPr>
        <w:pStyle w:val="TableofFigures"/>
        <w:tabs>
          <w:tab w:val="right" w:leader="dot" w:pos="9629"/>
        </w:tabs>
        <w:rPr>
          <w:rFonts w:asciiTheme="minorHAnsi" w:eastAsiaTheme="minorEastAsia" w:hAnsiTheme="minorHAnsi"/>
          <w:b w:val="0"/>
          <w:noProof/>
          <w:sz w:val="22"/>
          <w:lang w:val="en-SE" w:eastAsia="en-SE"/>
        </w:rPr>
      </w:pPr>
      <w:hyperlink w:anchor="_Toc127430950" w:history="1">
        <w:r w:rsidR="006F2025" w:rsidRPr="00B05660">
          <w:rPr>
            <w:rStyle w:val="Hyperlink"/>
            <w:noProof/>
            <w:lang w:val="en-GB"/>
          </w:rPr>
          <w:t>Proposal 22</w:t>
        </w:r>
        <w:r w:rsidR="006F2025">
          <w:rPr>
            <w:rFonts w:asciiTheme="minorHAnsi" w:eastAsiaTheme="minorEastAsia" w:hAnsiTheme="minorHAnsi"/>
            <w:b w:val="0"/>
            <w:noProof/>
            <w:sz w:val="22"/>
            <w:lang w:val="en-SE" w:eastAsia="en-SE"/>
          </w:rPr>
          <w:tab/>
        </w:r>
        <w:r w:rsidR="006F2025" w:rsidRPr="00B05660">
          <w:rPr>
            <w:rStyle w:val="Hyperlink"/>
            <w:noProof/>
            <w:lang w:val="en-GB"/>
          </w:rPr>
          <w:t>Define ACS and general and narrowband blocking requirements for NCR-MT, based on IAB-MT requirements.</w:t>
        </w:r>
      </w:hyperlink>
    </w:p>
    <w:p w14:paraId="7F347B40" w14:textId="64D83838" w:rsidR="006F2025" w:rsidRDefault="00000000">
      <w:pPr>
        <w:pStyle w:val="TableofFigures"/>
        <w:tabs>
          <w:tab w:val="right" w:leader="dot" w:pos="9629"/>
        </w:tabs>
        <w:rPr>
          <w:rFonts w:asciiTheme="minorHAnsi" w:eastAsiaTheme="minorEastAsia" w:hAnsiTheme="minorHAnsi"/>
          <w:b w:val="0"/>
          <w:noProof/>
          <w:sz w:val="22"/>
          <w:lang w:val="en-SE" w:eastAsia="en-SE"/>
        </w:rPr>
      </w:pPr>
      <w:hyperlink w:anchor="_Toc127430951" w:history="1">
        <w:r w:rsidR="006F2025" w:rsidRPr="00B05660">
          <w:rPr>
            <w:rStyle w:val="Hyperlink"/>
            <w:noProof/>
            <w:lang w:val="en-GB"/>
          </w:rPr>
          <w:t>Proposal 23</w:t>
        </w:r>
        <w:r w:rsidR="006F2025">
          <w:rPr>
            <w:rFonts w:asciiTheme="minorHAnsi" w:eastAsiaTheme="minorEastAsia" w:hAnsiTheme="minorHAnsi"/>
            <w:b w:val="0"/>
            <w:noProof/>
            <w:sz w:val="22"/>
            <w:lang w:val="en-SE" w:eastAsia="en-SE"/>
          </w:rPr>
          <w:tab/>
        </w:r>
        <w:r w:rsidR="006F2025" w:rsidRPr="00B05660">
          <w:rPr>
            <w:rStyle w:val="Hyperlink"/>
            <w:noProof/>
            <w:lang w:val="en-GB"/>
          </w:rPr>
          <w:t>Define general and co-location OOB blocking requirements for NCR-MT, based on the IAB-MT requirements.</w:t>
        </w:r>
      </w:hyperlink>
    </w:p>
    <w:p w14:paraId="1B694CAD" w14:textId="32AD9D22" w:rsidR="006F2025" w:rsidRDefault="00000000">
      <w:pPr>
        <w:pStyle w:val="TableofFigures"/>
        <w:tabs>
          <w:tab w:val="right" w:leader="dot" w:pos="9629"/>
        </w:tabs>
        <w:rPr>
          <w:rFonts w:asciiTheme="minorHAnsi" w:eastAsiaTheme="minorEastAsia" w:hAnsiTheme="minorHAnsi"/>
          <w:b w:val="0"/>
          <w:noProof/>
          <w:sz w:val="22"/>
          <w:lang w:val="en-SE" w:eastAsia="en-SE"/>
        </w:rPr>
      </w:pPr>
      <w:hyperlink w:anchor="_Toc127430952" w:history="1">
        <w:r w:rsidR="006F2025" w:rsidRPr="00B05660">
          <w:rPr>
            <w:rStyle w:val="Hyperlink"/>
            <w:noProof/>
            <w:lang w:val="en-GB"/>
          </w:rPr>
          <w:t>Proposal 24</w:t>
        </w:r>
        <w:r w:rsidR="006F2025">
          <w:rPr>
            <w:rFonts w:asciiTheme="minorHAnsi" w:eastAsiaTheme="minorEastAsia" w:hAnsiTheme="minorHAnsi"/>
            <w:b w:val="0"/>
            <w:noProof/>
            <w:sz w:val="22"/>
            <w:lang w:val="en-SE" w:eastAsia="en-SE"/>
          </w:rPr>
          <w:tab/>
        </w:r>
        <w:r w:rsidR="006F2025" w:rsidRPr="00B05660">
          <w:rPr>
            <w:rStyle w:val="Hyperlink"/>
            <w:noProof/>
            <w:lang w:val="en-GB"/>
          </w:rPr>
          <w:t>Define a receiver intermodulation requirement for NCR-MT, based on the IAB-MT intermodulation requirement.</w:t>
        </w:r>
      </w:hyperlink>
    </w:p>
    <w:p w14:paraId="31AF373B" w14:textId="313AA0F4" w:rsidR="006F2025" w:rsidRDefault="00000000">
      <w:pPr>
        <w:pStyle w:val="TableofFigures"/>
        <w:tabs>
          <w:tab w:val="right" w:leader="dot" w:pos="9629"/>
        </w:tabs>
        <w:rPr>
          <w:rFonts w:asciiTheme="minorHAnsi" w:eastAsiaTheme="minorEastAsia" w:hAnsiTheme="minorHAnsi"/>
          <w:b w:val="0"/>
          <w:noProof/>
          <w:sz w:val="22"/>
          <w:lang w:val="en-SE" w:eastAsia="en-SE"/>
        </w:rPr>
      </w:pPr>
      <w:hyperlink w:anchor="_Toc127430953" w:history="1">
        <w:r w:rsidR="006F2025" w:rsidRPr="00B05660">
          <w:rPr>
            <w:rStyle w:val="Hyperlink"/>
            <w:noProof/>
            <w:lang w:val="en-GB"/>
          </w:rPr>
          <w:t>Proposal 25</w:t>
        </w:r>
        <w:r w:rsidR="006F2025">
          <w:rPr>
            <w:rFonts w:asciiTheme="minorHAnsi" w:eastAsiaTheme="minorEastAsia" w:hAnsiTheme="minorHAnsi"/>
            <w:b w:val="0"/>
            <w:noProof/>
            <w:sz w:val="22"/>
            <w:lang w:val="en-SE" w:eastAsia="en-SE"/>
          </w:rPr>
          <w:tab/>
        </w:r>
        <w:r w:rsidR="006F2025" w:rsidRPr="00B05660">
          <w:rPr>
            <w:rStyle w:val="Hyperlink"/>
            <w:noProof/>
            <w:lang w:val="en-GB"/>
          </w:rPr>
          <w:t>Do not define beam correspondence requirements for IAB-MT.</w:t>
        </w:r>
      </w:hyperlink>
    </w:p>
    <w:p w14:paraId="747C743C" w14:textId="29E6969F" w:rsidR="006E1C82" w:rsidRPr="00CE0424" w:rsidRDefault="006E1C82" w:rsidP="006E1C82">
      <w:pPr>
        <w:pStyle w:val="BodyText"/>
        <w:rPr>
          <w:b/>
          <w:bCs/>
        </w:rPr>
      </w:pPr>
      <w:r>
        <w:rPr>
          <w:b/>
          <w:bCs/>
        </w:rPr>
        <w:fldChar w:fldCharType="end"/>
      </w:r>
      <w:r w:rsidRPr="00CE0424">
        <w:rPr>
          <w:b/>
          <w:bCs/>
        </w:rPr>
        <w:t xml:space="preserve"> </w:t>
      </w:r>
    </w:p>
    <w:p w14:paraId="71D79D99" w14:textId="77777777" w:rsidR="00F507D1" w:rsidRPr="00CE0424" w:rsidRDefault="00F507D1" w:rsidP="00CE0424">
      <w:pPr>
        <w:pStyle w:val="Heading1"/>
      </w:pPr>
      <w:bookmarkStart w:id="27" w:name="_In-sequence_SDU_delivery"/>
      <w:bookmarkEnd w:id="27"/>
      <w:r w:rsidRPr="00CE0424">
        <w:t>References</w:t>
      </w:r>
    </w:p>
    <w:p w14:paraId="53A98668" w14:textId="1197B2C3" w:rsidR="00B15963" w:rsidRDefault="00B15963" w:rsidP="00311702">
      <w:pPr>
        <w:pStyle w:val="Reference"/>
      </w:pPr>
      <w:bookmarkStart w:id="28" w:name="_Ref174151459"/>
      <w:bookmarkStart w:id="29" w:name="_Ref189809556"/>
      <w:r>
        <w:t xml:space="preserve">R4-2220255, </w:t>
      </w:r>
      <w:r w:rsidR="00EB32C6" w:rsidRPr="00EB32C6">
        <w:t>WF for NCR system parameters and RF requirements</w:t>
      </w:r>
      <w:r w:rsidR="00EB32C6">
        <w:t>, ZTE, CMCC, RAN4#105, November 2022</w:t>
      </w:r>
    </w:p>
    <w:bookmarkEnd w:id="28"/>
    <w:bookmarkEnd w:id="29"/>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A5D50" w14:textId="77777777" w:rsidR="0002745A" w:rsidRDefault="0002745A">
      <w:r>
        <w:separator/>
      </w:r>
    </w:p>
  </w:endnote>
  <w:endnote w:type="continuationSeparator" w:id="0">
    <w:p w14:paraId="65F0EE22" w14:textId="77777777" w:rsidR="0002745A" w:rsidRDefault="0002745A">
      <w:r>
        <w:continuationSeparator/>
      </w:r>
    </w:p>
  </w:endnote>
  <w:endnote w:type="continuationNotice" w:id="1">
    <w:p w14:paraId="1B6517ED" w14:textId="77777777" w:rsidR="0002745A" w:rsidRDefault="000274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717EA" w14:textId="77777777" w:rsidR="0002745A" w:rsidRDefault="0002745A">
      <w:r>
        <w:separator/>
      </w:r>
    </w:p>
  </w:footnote>
  <w:footnote w:type="continuationSeparator" w:id="0">
    <w:p w14:paraId="59514A9C" w14:textId="77777777" w:rsidR="0002745A" w:rsidRDefault="0002745A">
      <w:r>
        <w:continuationSeparator/>
      </w:r>
    </w:p>
  </w:footnote>
  <w:footnote w:type="continuationNotice" w:id="1">
    <w:p w14:paraId="32F8B826" w14:textId="77777777" w:rsidR="0002745A" w:rsidRDefault="0002745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CCC210C"/>
    <w:multiLevelType w:val="hybridMultilevel"/>
    <w:tmpl w:val="F806AF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534150871">
    <w:abstractNumId w:val="3"/>
  </w:num>
  <w:num w:numId="2" w16cid:durableId="1095662709">
    <w:abstractNumId w:val="15"/>
  </w:num>
  <w:num w:numId="3" w16cid:durableId="206767866">
    <w:abstractNumId w:val="11"/>
  </w:num>
  <w:num w:numId="4" w16cid:durableId="2113822324">
    <w:abstractNumId w:val="12"/>
  </w:num>
  <w:num w:numId="5" w16cid:durableId="876510165">
    <w:abstractNumId w:val="8"/>
  </w:num>
  <w:num w:numId="6" w16cid:durableId="417362425">
    <w:abstractNumId w:val="14"/>
  </w:num>
  <w:num w:numId="7" w16cid:durableId="1555847524">
    <w:abstractNumId w:val="18"/>
  </w:num>
  <w:num w:numId="8" w16cid:durableId="489178690">
    <w:abstractNumId w:val="9"/>
  </w:num>
  <w:num w:numId="9" w16cid:durableId="2132244242">
    <w:abstractNumId w:val="7"/>
  </w:num>
  <w:num w:numId="10" w16cid:durableId="255788278">
    <w:abstractNumId w:val="2"/>
  </w:num>
  <w:num w:numId="11" w16cid:durableId="752513108">
    <w:abstractNumId w:val="1"/>
  </w:num>
  <w:num w:numId="12" w16cid:durableId="599604237">
    <w:abstractNumId w:val="0"/>
  </w:num>
  <w:num w:numId="13" w16cid:durableId="1771973694">
    <w:abstractNumId w:val="16"/>
  </w:num>
  <w:num w:numId="14" w16cid:durableId="83231812">
    <w:abstractNumId w:val="17"/>
  </w:num>
  <w:num w:numId="15" w16cid:durableId="2146848202">
    <w:abstractNumId w:val="13"/>
  </w:num>
  <w:num w:numId="16" w16cid:durableId="1750231915">
    <w:abstractNumId w:val="19"/>
  </w:num>
  <w:num w:numId="17" w16cid:durableId="593830957">
    <w:abstractNumId w:val="5"/>
  </w:num>
  <w:num w:numId="18" w16cid:durableId="412514381">
    <w:abstractNumId w:val="6"/>
  </w:num>
  <w:num w:numId="19" w16cid:durableId="1493180334">
    <w:abstractNumId w:val="4"/>
  </w:num>
  <w:num w:numId="20" w16cid:durableId="1586300920">
    <w:abstractNumId w:val="22"/>
  </w:num>
  <w:num w:numId="21" w16cid:durableId="1590238289">
    <w:abstractNumId w:val="10"/>
  </w:num>
  <w:num w:numId="22" w16cid:durableId="1156724495">
    <w:abstractNumId w:val="21"/>
  </w:num>
  <w:num w:numId="23" w16cid:durableId="42758578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4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5F38"/>
    <w:rsid w:val="00006446"/>
    <w:rsid w:val="00006896"/>
    <w:rsid w:val="00007CDC"/>
    <w:rsid w:val="00011142"/>
    <w:rsid w:val="00011B28"/>
    <w:rsid w:val="00015D15"/>
    <w:rsid w:val="00021FDF"/>
    <w:rsid w:val="0002564D"/>
    <w:rsid w:val="00025ECA"/>
    <w:rsid w:val="0002745A"/>
    <w:rsid w:val="000325B8"/>
    <w:rsid w:val="00034C15"/>
    <w:rsid w:val="00036BA1"/>
    <w:rsid w:val="000422E2"/>
    <w:rsid w:val="00042F22"/>
    <w:rsid w:val="000444EF"/>
    <w:rsid w:val="00052A07"/>
    <w:rsid w:val="000534E3"/>
    <w:rsid w:val="0005606A"/>
    <w:rsid w:val="00057117"/>
    <w:rsid w:val="000616E7"/>
    <w:rsid w:val="0006487E"/>
    <w:rsid w:val="00064B26"/>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24EA"/>
    <w:rsid w:val="000F06D6"/>
    <w:rsid w:val="000F0EB1"/>
    <w:rsid w:val="000F1106"/>
    <w:rsid w:val="000F3BE9"/>
    <w:rsid w:val="000F3F6C"/>
    <w:rsid w:val="000F6DF3"/>
    <w:rsid w:val="001005FF"/>
    <w:rsid w:val="001062FB"/>
    <w:rsid w:val="001063E6"/>
    <w:rsid w:val="001138FD"/>
    <w:rsid w:val="00113CF4"/>
    <w:rsid w:val="001153EA"/>
    <w:rsid w:val="00115643"/>
    <w:rsid w:val="00116765"/>
    <w:rsid w:val="001219F5"/>
    <w:rsid w:val="00121A20"/>
    <w:rsid w:val="001229A5"/>
    <w:rsid w:val="0012377F"/>
    <w:rsid w:val="00124314"/>
    <w:rsid w:val="00126B4A"/>
    <w:rsid w:val="00132FD0"/>
    <w:rsid w:val="001344C0"/>
    <w:rsid w:val="001346FA"/>
    <w:rsid w:val="00135252"/>
    <w:rsid w:val="00137AB5"/>
    <w:rsid w:val="00137F0B"/>
    <w:rsid w:val="00146596"/>
    <w:rsid w:val="00151E23"/>
    <w:rsid w:val="001526E0"/>
    <w:rsid w:val="001551B5"/>
    <w:rsid w:val="00157FDA"/>
    <w:rsid w:val="0016051D"/>
    <w:rsid w:val="001642FE"/>
    <w:rsid w:val="001659C1"/>
    <w:rsid w:val="00173A8E"/>
    <w:rsid w:val="0017502C"/>
    <w:rsid w:val="0018143F"/>
    <w:rsid w:val="00181FF8"/>
    <w:rsid w:val="00184C13"/>
    <w:rsid w:val="00190AC1"/>
    <w:rsid w:val="0019341A"/>
    <w:rsid w:val="00197DF9"/>
    <w:rsid w:val="001A1987"/>
    <w:rsid w:val="001A2564"/>
    <w:rsid w:val="001A6173"/>
    <w:rsid w:val="001A6CBA"/>
    <w:rsid w:val="001B0D97"/>
    <w:rsid w:val="001B5A5D"/>
    <w:rsid w:val="001C1CE5"/>
    <w:rsid w:val="001C3D2A"/>
    <w:rsid w:val="001D127B"/>
    <w:rsid w:val="001D51BA"/>
    <w:rsid w:val="001D53E7"/>
    <w:rsid w:val="001D6342"/>
    <w:rsid w:val="001D6D53"/>
    <w:rsid w:val="001E58E2"/>
    <w:rsid w:val="001E7AED"/>
    <w:rsid w:val="001F36DF"/>
    <w:rsid w:val="001F3916"/>
    <w:rsid w:val="001F54C5"/>
    <w:rsid w:val="001F662C"/>
    <w:rsid w:val="001F7074"/>
    <w:rsid w:val="00200490"/>
    <w:rsid w:val="00201F3A"/>
    <w:rsid w:val="002026E1"/>
    <w:rsid w:val="00203F96"/>
    <w:rsid w:val="002069B2"/>
    <w:rsid w:val="00207FA3"/>
    <w:rsid w:val="00211441"/>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47633"/>
    <w:rsid w:val="002500C8"/>
    <w:rsid w:val="0025736E"/>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436"/>
    <w:rsid w:val="00296F44"/>
    <w:rsid w:val="0029777D"/>
    <w:rsid w:val="002A055E"/>
    <w:rsid w:val="002A1D4E"/>
    <w:rsid w:val="002A2869"/>
    <w:rsid w:val="002A578E"/>
    <w:rsid w:val="002B24D6"/>
    <w:rsid w:val="002B58DF"/>
    <w:rsid w:val="002C41E6"/>
    <w:rsid w:val="002C66EE"/>
    <w:rsid w:val="002D071A"/>
    <w:rsid w:val="002D26AB"/>
    <w:rsid w:val="002D34B2"/>
    <w:rsid w:val="002D48B0"/>
    <w:rsid w:val="002D5B37"/>
    <w:rsid w:val="002D6796"/>
    <w:rsid w:val="002D7637"/>
    <w:rsid w:val="002E17F2"/>
    <w:rsid w:val="002E7CAE"/>
    <w:rsid w:val="002F13E4"/>
    <w:rsid w:val="002F2771"/>
    <w:rsid w:val="002F37A9"/>
    <w:rsid w:val="002F424B"/>
    <w:rsid w:val="002F7E51"/>
    <w:rsid w:val="00301CE6"/>
    <w:rsid w:val="0030256B"/>
    <w:rsid w:val="0030501F"/>
    <w:rsid w:val="00307BA1"/>
    <w:rsid w:val="00311702"/>
    <w:rsid w:val="00311E82"/>
    <w:rsid w:val="0031266A"/>
    <w:rsid w:val="00313FD6"/>
    <w:rsid w:val="003143BD"/>
    <w:rsid w:val="00315363"/>
    <w:rsid w:val="003203ED"/>
    <w:rsid w:val="00322C9F"/>
    <w:rsid w:val="00324D23"/>
    <w:rsid w:val="00330541"/>
    <w:rsid w:val="00331751"/>
    <w:rsid w:val="00334579"/>
    <w:rsid w:val="00335858"/>
    <w:rsid w:val="00335A1E"/>
    <w:rsid w:val="00335DF5"/>
    <w:rsid w:val="00336BDA"/>
    <w:rsid w:val="00341F6F"/>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6BE6"/>
    <w:rsid w:val="003A70A4"/>
    <w:rsid w:val="003A7EF3"/>
    <w:rsid w:val="003B159C"/>
    <w:rsid w:val="003B369F"/>
    <w:rsid w:val="003B36A3"/>
    <w:rsid w:val="003B64BB"/>
    <w:rsid w:val="003B7FE5"/>
    <w:rsid w:val="003C006B"/>
    <w:rsid w:val="003C11C8"/>
    <w:rsid w:val="003C2702"/>
    <w:rsid w:val="003C7806"/>
    <w:rsid w:val="003D109F"/>
    <w:rsid w:val="003D2478"/>
    <w:rsid w:val="003D3C45"/>
    <w:rsid w:val="003D5B1F"/>
    <w:rsid w:val="003D6BE0"/>
    <w:rsid w:val="003E15FA"/>
    <w:rsid w:val="003E55E4"/>
    <w:rsid w:val="003E74E3"/>
    <w:rsid w:val="003F05C7"/>
    <w:rsid w:val="003F1EA8"/>
    <w:rsid w:val="003F2CD4"/>
    <w:rsid w:val="003F6BBE"/>
    <w:rsid w:val="004000E8"/>
    <w:rsid w:val="00402E2B"/>
    <w:rsid w:val="0040512B"/>
    <w:rsid w:val="00405CA5"/>
    <w:rsid w:val="00407C1E"/>
    <w:rsid w:val="00407CD3"/>
    <w:rsid w:val="00410134"/>
    <w:rsid w:val="00410B72"/>
    <w:rsid w:val="00410F18"/>
    <w:rsid w:val="0041263E"/>
    <w:rsid w:val="0041377D"/>
    <w:rsid w:val="00413AAC"/>
    <w:rsid w:val="00413E92"/>
    <w:rsid w:val="00421105"/>
    <w:rsid w:val="00422AA4"/>
    <w:rsid w:val="004242F4"/>
    <w:rsid w:val="00427248"/>
    <w:rsid w:val="00432D4C"/>
    <w:rsid w:val="004333EE"/>
    <w:rsid w:val="00434AC4"/>
    <w:rsid w:val="00437447"/>
    <w:rsid w:val="00441A92"/>
    <w:rsid w:val="004431DC"/>
    <w:rsid w:val="00443B90"/>
    <w:rsid w:val="00444F56"/>
    <w:rsid w:val="00446488"/>
    <w:rsid w:val="004517AA"/>
    <w:rsid w:val="00452CAC"/>
    <w:rsid w:val="00457565"/>
    <w:rsid w:val="00457B71"/>
    <w:rsid w:val="00464689"/>
    <w:rsid w:val="004669E2"/>
    <w:rsid w:val="00470C31"/>
    <w:rsid w:val="00471DE0"/>
    <w:rsid w:val="004734D0"/>
    <w:rsid w:val="0047556B"/>
    <w:rsid w:val="00477768"/>
    <w:rsid w:val="004800DE"/>
    <w:rsid w:val="004839CA"/>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1A36"/>
    <w:rsid w:val="00534B59"/>
    <w:rsid w:val="00536759"/>
    <w:rsid w:val="00537C62"/>
    <w:rsid w:val="00546970"/>
    <w:rsid w:val="00554E19"/>
    <w:rsid w:val="0056121F"/>
    <w:rsid w:val="00572505"/>
    <w:rsid w:val="0057407F"/>
    <w:rsid w:val="00582809"/>
    <w:rsid w:val="0058798C"/>
    <w:rsid w:val="005900FA"/>
    <w:rsid w:val="00591A3E"/>
    <w:rsid w:val="005923AA"/>
    <w:rsid w:val="005935A4"/>
    <w:rsid w:val="005948C2"/>
    <w:rsid w:val="00595DCA"/>
    <w:rsid w:val="0059779B"/>
    <w:rsid w:val="005A209A"/>
    <w:rsid w:val="005A662D"/>
    <w:rsid w:val="005A7286"/>
    <w:rsid w:val="005B1409"/>
    <w:rsid w:val="005B35D7"/>
    <w:rsid w:val="005B392A"/>
    <w:rsid w:val="005B3AA3"/>
    <w:rsid w:val="005B6F83"/>
    <w:rsid w:val="005C3C2E"/>
    <w:rsid w:val="005C74FB"/>
    <w:rsid w:val="005D1602"/>
    <w:rsid w:val="005D35D9"/>
    <w:rsid w:val="005D43DF"/>
    <w:rsid w:val="005D4B2F"/>
    <w:rsid w:val="005E385F"/>
    <w:rsid w:val="005E5B81"/>
    <w:rsid w:val="005F2CB1"/>
    <w:rsid w:val="005F3025"/>
    <w:rsid w:val="005F618C"/>
    <w:rsid w:val="005F70BD"/>
    <w:rsid w:val="0060225E"/>
    <w:rsid w:val="0060283C"/>
    <w:rsid w:val="00604F14"/>
    <w:rsid w:val="00606F32"/>
    <w:rsid w:val="00611B83"/>
    <w:rsid w:val="00613257"/>
    <w:rsid w:val="00615375"/>
    <w:rsid w:val="006162F3"/>
    <w:rsid w:val="00620A06"/>
    <w:rsid w:val="00620A71"/>
    <w:rsid w:val="00620D80"/>
    <w:rsid w:val="006234A6"/>
    <w:rsid w:val="00630001"/>
    <w:rsid w:val="00630ED7"/>
    <w:rsid w:val="006311B3"/>
    <w:rsid w:val="0063284C"/>
    <w:rsid w:val="00636398"/>
    <w:rsid w:val="006368D3"/>
    <w:rsid w:val="006377EC"/>
    <w:rsid w:val="0064151F"/>
    <w:rsid w:val="00641533"/>
    <w:rsid w:val="0064208D"/>
    <w:rsid w:val="00643475"/>
    <w:rsid w:val="0064396A"/>
    <w:rsid w:val="0064624E"/>
    <w:rsid w:val="00650AB9"/>
    <w:rsid w:val="00650B1D"/>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4E68"/>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31C2"/>
    <w:rsid w:val="006B50CF"/>
    <w:rsid w:val="006B6827"/>
    <w:rsid w:val="006C03B8"/>
    <w:rsid w:val="006C060C"/>
    <w:rsid w:val="006C5EC9"/>
    <w:rsid w:val="006C6059"/>
    <w:rsid w:val="006C7522"/>
    <w:rsid w:val="006D6F08"/>
    <w:rsid w:val="006E062C"/>
    <w:rsid w:val="006E1C82"/>
    <w:rsid w:val="006E28B7"/>
    <w:rsid w:val="006E2A9B"/>
    <w:rsid w:val="006E3310"/>
    <w:rsid w:val="006E4E39"/>
    <w:rsid w:val="006E565E"/>
    <w:rsid w:val="006E673D"/>
    <w:rsid w:val="006E77E3"/>
    <w:rsid w:val="006E7D3B"/>
    <w:rsid w:val="006F1B70"/>
    <w:rsid w:val="006F2025"/>
    <w:rsid w:val="006F341D"/>
    <w:rsid w:val="006F3CDE"/>
    <w:rsid w:val="006F581A"/>
    <w:rsid w:val="006F58D4"/>
    <w:rsid w:val="006F6582"/>
    <w:rsid w:val="006F7071"/>
    <w:rsid w:val="0070346E"/>
    <w:rsid w:val="00704EDB"/>
    <w:rsid w:val="00706101"/>
    <w:rsid w:val="00707072"/>
    <w:rsid w:val="00707D61"/>
    <w:rsid w:val="00712287"/>
    <w:rsid w:val="00712772"/>
    <w:rsid w:val="007148D3"/>
    <w:rsid w:val="00715B9A"/>
    <w:rsid w:val="00721B32"/>
    <w:rsid w:val="00723A94"/>
    <w:rsid w:val="007257D0"/>
    <w:rsid w:val="00726EA6"/>
    <w:rsid w:val="00727208"/>
    <w:rsid w:val="00727680"/>
    <w:rsid w:val="007348B1"/>
    <w:rsid w:val="007362A6"/>
    <w:rsid w:val="00736D7D"/>
    <w:rsid w:val="00740E58"/>
    <w:rsid w:val="007445A0"/>
    <w:rsid w:val="0074524B"/>
    <w:rsid w:val="00747D8B"/>
    <w:rsid w:val="00751228"/>
    <w:rsid w:val="00753AF5"/>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4552"/>
    <w:rsid w:val="00795C92"/>
    <w:rsid w:val="00796231"/>
    <w:rsid w:val="00797173"/>
    <w:rsid w:val="00797586"/>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4257"/>
    <w:rsid w:val="00803FAE"/>
    <w:rsid w:val="0080605F"/>
    <w:rsid w:val="00807786"/>
    <w:rsid w:val="00807D5D"/>
    <w:rsid w:val="00811FCB"/>
    <w:rsid w:val="008158D6"/>
    <w:rsid w:val="00817196"/>
    <w:rsid w:val="00821424"/>
    <w:rsid w:val="008235DB"/>
    <w:rsid w:val="00824AB4"/>
    <w:rsid w:val="00825C42"/>
    <w:rsid w:val="00825D25"/>
    <w:rsid w:val="00827D6F"/>
    <w:rsid w:val="008376AC"/>
    <w:rsid w:val="0084084E"/>
    <w:rsid w:val="008444E8"/>
    <w:rsid w:val="00844E80"/>
    <w:rsid w:val="00846FE7"/>
    <w:rsid w:val="00856911"/>
    <w:rsid w:val="008667DC"/>
    <w:rsid w:val="008677FD"/>
    <w:rsid w:val="008706D4"/>
    <w:rsid w:val="00870F8A"/>
    <w:rsid w:val="008719A4"/>
    <w:rsid w:val="00871D23"/>
    <w:rsid w:val="00874312"/>
    <w:rsid w:val="0087437C"/>
    <w:rsid w:val="00875CD7"/>
    <w:rsid w:val="00876B4D"/>
    <w:rsid w:val="00877F18"/>
    <w:rsid w:val="008915C2"/>
    <w:rsid w:val="008941E3"/>
    <w:rsid w:val="00894A88"/>
    <w:rsid w:val="00895386"/>
    <w:rsid w:val="008A0C4B"/>
    <w:rsid w:val="008A21FF"/>
    <w:rsid w:val="008A2CE2"/>
    <w:rsid w:val="008A30AC"/>
    <w:rsid w:val="008A44B8"/>
    <w:rsid w:val="008A51A8"/>
    <w:rsid w:val="008A54C7"/>
    <w:rsid w:val="008A77D8"/>
    <w:rsid w:val="008B0483"/>
    <w:rsid w:val="008B0F34"/>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0CE"/>
    <w:rsid w:val="0090336B"/>
    <w:rsid w:val="009053AA"/>
    <w:rsid w:val="00906939"/>
    <w:rsid w:val="00910B7D"/>
    <w:rsid w:val="00911DFB"/>
    <w:rsid w:val="009139D9"/>
    <w:rsid w:val="00914AD8"/>
    <w:rsid w:val="00916079"/>
    <w:rsid w:val="00917CE9"/>
    <w:rsid w:val="0092075B"/>
    <w:rsid w:val="00920BF2"/>
    <w:rsid w:val="00922010"/>
    <w:rsid w:val="00931296"/>
    <w:rsid w:val="00931BD9"/>
    <w:rsid w:val="009368F3"/>
    <w:rsid w:val="00941636"/>
    <w:rsid w:val="00943742"/>
    <w:rsid w:val="00945C05"/>
    <w:rsid w:val="00946945"/>
    <w:rsid w:val="00947713"/>
    <w:rsid w:val="00950DE7"/>
    <w:rsid w:val="00953920"/>
    <w:rsid w:val="00953D47"/>
    <w:rsid w:val="00954DF0"/>
    <w:rsid w:val="0095681E"/>
    <w:rsid w:val="009572D4"/>
    <w:rsid w:val="00961921"/>
    <w:rsid w:val="0096430A"/>
    <w:rsid w:val="0096554B"/>
    <w:rsid w:val="0096584A"/>
    <w:rsid w:val="00967C1E"/>
    <w:rsid w:val="00971F08"/>
    <w:rsid w:val="0097603D"/>
    <w:rsid w:val="00976949"/>
    <w:rsid w:val="00980477"/>
    <w:rsid w:val="00982B88"/>
    <w:rsid w:val="00985253"/>
    <w:rsid w:val="009853B3"/>
    <w:rsid w:val="00986FE3"/>
    <w:rsid w:val="00990630"/>
    <w:rsid w:val="00991414"/>
    <w:rsid w:val="00991761"/>
    <w:rsid w:val="00994DCA"/>
    <w:rsid w:val="009960EC"/>
    <w:rsid w:val="009970DD"/>
    <w:rsid w:val="009A0FBA"/>
    <w:rsid w:val="009A1601"/>
    <w:rsid w:val="009A3BB6"/>
    <w:rsid w:val="009A462D"/>
    <w:rsid w:val="009A5CBA"/>
    <w:rsid w:val="009B1F30"/>
    <w:rsid w:val="009B28C3"/>
    <w:rsid w:val="009B3AC2"/>
    <w:rsid w:val="009B4DF4"/>
    <w:rsid w:val="009B564E"/>
    <w:rsid w:val="009B7975"/>
    <w:rsid w:val="009B7E87"/>
    <w:rsid w:val="009C0169"/>
    <w:rsid w:val="009C045E"/>
    <w:rsid w:val="009C403E"/>
    <w:rsid w:val="009D4FF0"/>
    <w:rsid w:val="009D703C"/>
    <w:rsid w:val="009D718F"/>
    <w:rsid w:val="009E068F"/>
    <w:rsid w:val="009E14E0"/>
    <w:rsid w:val="009E35DB"/>
    <w:rsid w:val="009E47A3"/>
    <w:rsid w:val="009F08F3"/>
    <w:rsid w:val="009F344F"/>
    <w:rsid w:val="00A02663"/>
    <w:rsid w:val="00A031D8"/>
    <w:rsid w:val="00A048A8"/>
    <w:rsid w:val="00A04F49"/>
    <w:rsid w:val="00A10937"/>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957BB"/>
    <w:rsid w:val="00AA016F"/>
    <w:rsid w:val="00AA1ED6"/>
    <w:rsid w:val="00AA4B0A"/>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D51FC"/>
    <w:rsid w:val="00AE27AC"/>
    <w:rsid w:val="00AE40E0"/>
    <w:rsid w:val="00AE4DBA"/>
    <w:rsid w:val="00AE4F07"/>
    <w:rsid w:val="00AE5DF3"/>
    <w:rsid w:val="00AF1C5D"/>
    <w:rsid w:val="00AF2169"/>
    <w:rsid w:val="00AF42D7"/>
    <w:rsid w:val="00B006FE"/>
    <w:rsid w:val="00B007CB"/>
    <w:rsid w:val="00B02AA9"/>
    <w:rsid w:val="00B02FA3"/>
    <w:rsid w:val="00B05084"/>
    <w:rsid w:val="00B10BD3"/>
    <w:rsid w:val="00B157F9"/>
    <w:rsid w:val="00B15963"/>
    <w:rsid w:val="00B20256"/>
    <w:rsid w:val="00B20D09"/>
    <w:rsid w:val="00B2757F"/>
    <w:rsid w:val="00B2763F"/>
    <w:rsid w:val="00B27AAC"/>
    <w:rsid w:val="00B30929"/>
    <w:rsid w:val="00B372AA"/>
    <w:rsid w:val="00B40445"/>
    <w:rsid w:val="00B409E0"/>
    <w:rsid w:val="00B41888"/>
    <w:rsid w:val="00B45A52"/>
    <w:rsid w:val="00B46175"/>
    <w:rsid w:val="00B51937"/>
    <w:rsid w:val="00B54098"/>
    <w:rsid w:val="00B548B7"/>
    <w:rsid w:val="00B664C7"/>
    <w:rsid w:val="00B713D8"/>
    <w:rsid w:val="00B739F6"/>
    <w:rsid w:val="00B81A6C"/>
    <w:rsid w:val="00B85DE5"/>
    <w:rsid w:val="00B90F73"/>
    <w:rsid w:val="00B93B59"/>
    <w:rsid w:val="00B9406A"/>
    <w:rsid w:val="00B95A45"/>
    <w:rsid w:val="00BA2280"/>
    <w:rsid w:val="00BA2A08"/>
    <w:rsid w:val="00BA4AFD"/>
    <w:rsid w:val="00BA56D2"/>
    <w:rsid w:val="00BA76E0"/>
    <w:rsid w:val="00BB2A25"/>
    <w:rsid w:val="00BB51E9"/>
    <w:rsid w:val="00BC0FDC"/>
    <w:rsid w:val="00BC16EC"/>
    <w:rsid w:val="00BC3053"/>
    <w:rsid w:val="00BC4D2E"/>
    <w:rsid w:val="00BD48AC"/>
    <w:rsid w:val="00BD5F1A"/>
    <w:rsid w:val="00BE1234"/>
    <w:rsid w:val="00BE2EB6"/>
    <w:rsid w:val="00BE2FA6"/>
    <w:rsid w:val="00BE333F"/>
    <w:rsid w:val="00BE7406"/>
    <w:rsid w:val="00BE7603"/>
    <w:rsid w:val="00BF3279"/>
    <w:rsid w:val="00BF74C7"/>
    <w:rsid w:val="00C015F1"/>
    <w:rsid w:val="00C01F33"/>
    <w:rsid w:val="00C02CC6"/>
    <w:rsid w:val="00C040F7"/>
    <w:rsid w:val="00C044AB"/>
    <w:rsid w:val="00C05706"/>
    <w:rsid w:val="00C07377"/>
    <w:rsid w:val="00C07E06"/>
    <w:rsid w:val="00C10478"/>
    <w:rsid w:val="00C11BE7"/>
    <w:rsid w:val="00C12107"/>
    <w:rsid w:val="00C14D4B"/>
    <w:rsid w:val="00C14E01"/>
    <w:rsid w:val="00C154BB"/>
    <w:rsid w:val="00C279B5"/>
    <w:rsid w:val="00C27C45"/>
    <w:rsid w:val="00C3719D"/>
    <w:rsid w:val="00C37CB2"/>
    <w:rsid w:val="00C473A5"/>
    <w:rsid w:val="00C52689"/>
    <w:rsid w:val="00C54995"/>
    <w:rsid w:val="00C54D41"/>
    <w:rsid w:val="00C60783"/>
    <w:rsid w:val="00C61467"/>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0E8D"/>
    <w:rsid w:val="00CC111F"/>
    <w:rsid w:val="00CC2011"/>
    <w:rsid w:val="00CC3EA0"/>
    <w:rsid w:val="00CC7B45"/>
    <w:rsid w:val="00CD1188"/>
    <w:rsid w:val="00CD2ED1"/>
    <w:rsid w:val="00CD337B"/>
    <w:rsid w:val="00CD688C"/>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D23C8"/>
    <w:rsid w:val="00DE5608"/>
    <w:rsid w:val="00DE58D0"/>
    <w:rsid w:val="00DE654F"/>
    <w:rsid w:val="00DF0B6E"/>
    <w:rsid w:val="00DF15E0"/>
    <w:rsid w:val="00DF37A0"/>
    <w:rsid w:val="00DF7802"/>
    <w:rsid w:val="00E110E7"/>
    <w:rsid w:val="00E11B20"/>
    <w:rsid w:val="00E17FA2"/>
    <w:rsid w:val="00E206B1"/>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32E"/>
    <w:rsid w:val="00E57565"/>
    <w:rsid w:val="00E63838"/>
    <w:rsid w:val="00E64434"/>
    <w:rsid w:val="00E67C51"/>
    <w:rsid w:val="00E722B9"/>
    <w:rsid w:val="00E72EFC"/>
    <w:rsid w:val="00E758EC"/>
    <w:rsid w:val="00E8234C"/>
    <w:rsid w:val="00E83AA9"/>
    <w:rsid w:val="00E85928"/>
    <w:rsid w:val="00E8592E"/>
    <w:rsid w:val="00E86E03"/>
    <w:rsid w:val="00E87822"/>
    <w:rsid w:val="00E90395"/>
    <w:rsid w:val="00E90E49"/>
    <w:rsid w:val="00E917F9"/>
    <w:rsid w:val="00E9291C"/>
    <w:rsid w:val="00E93FFE"/>
    <w:rsid w:val="00E94F8A"/>
    <w:rsid w:val="00EA7A41"/>
    <w:rsid w:val="00EB077B"/>
    <w:rsid w:val="00EB32C6"/>
    <w:rsid w:val="00EB4EA2"/>
    <w:rsid w:val="00EC24D5"/>
    <w:rsid w:val="00EC27C6"/>
    <w:rsid w:val="00EC4207"/>
    <w:rsid w:val="00EC5653"/>
    <w:rsid w:val="00EC71CE"/>
    <w:rsid w:val="00ED0BB9"/>
    <w:rsid w:val="00ED1006"/>
    <w:rsid w:val="00ED64E1"/>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611F"/>
    <w:rsid w:val="00F40F0C"/>
    <w:rsid w:val="00F457B4"/>
    <w:rsid w:val="00F4766C"/>
    <w:rsid w:val="00F47A03"/>
    <w:rsid w:val="00F5060E"/>
    <w:rsid w:val="00F507D1"/>
    <w:rsid w:val="00F519CE"/>
    <w:rsid w:val="00F51ADA"/>
    <w:rsid w:val="00F575AB"/>
    <w:rsid w:val="00F60203"/>
    <w:rsid w:val="00F607C5"/>
    <w:rsid w:val="00F60DEA"/>
    <w:rsid w:val="00F6302A"/>
    <w:rsid w:val="00F63950"/>
    <w:rsid w:val="00F64143"/>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196"/>
    <w:rsid w:val="00FB443B"/>
    <w:rsid w:val="00FB4C80"/>
    <w:rsid w:val="00FB6A6A"/>
    <w:rsid w:val="00FC7429"/>
    <w:rsid w:val="00FD07F6"/>
    <w:rsid w:val="00FD1EC8"/>
    <w:rsid w:val="00FD250E"/>
    <w:rsid w:val="00FD421C"/>
    <w:rsid w:val="00FD47ED"/>
    <w:rsid w:val="00FD74DB"/>
    <w:rsid w:val="00FD7660"/>
    <w:rsid w:val="00FE0655"/>
    <w:rsid w:val="00FE2365"/>
    <w:rsid w:val="00FE37D7"/>
    <w:rsid w:val="00FE4C7B"/>
    <w:rsid w:val="00FE7336"/>
    <w:rsid w:val="00FE787C"/>
    <w:rsid w:val="00FF45A5"/>
    <w:rsid w:val="00FF4761"/>
    <w:rsid w:val="00FF5C91"/>
    <w:rsid w:val="00FF645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15482</TotalTime>
  <Pages>8</Pages>
  <Words>2854</Words>
  <Characters>16274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130</cp:revision>
  <cp:lastPrinted>2008-01-31T16:09:00Z</cp:lastPrinted>
  <dcterms:created xsi:type="dcterms:W3CDTF">2020-08-14T06:21:00Z</dcterms:created>
  <dcterms:modified xsi:type="dcterms:W3CDTF">2023-02-17T15:56:00Z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